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F3E84B" w14:textId="77777777" w:rsidR="00FB56C6" w:rsidRPr="00DC1F28" w:rsidRDefault="00000000">
      <w:pPr>
        <w:spacing w:after="120"/>
        <w:jc w:val="center"/>
        <w:rPr>
          <w:highlight w:val="yellow"/>
        </w:rPr>
      </w:pPr>
      <w:r w:rsidRPr="00DC1F28">
        <w:rPr>
          <w:b/>
          <w:bCs/>
          <w:color w:val="2E5C8A"/>
          <w:sz w:val="18"/>
          <w:szCs w:val="18"/>
          <w:highlight w:val="yellow"/>
        </w:rPr>
        <w:t>SPIRITUAL FRIENDSHIP · WEEK 2 · OCTOBER 18, 2026</w:t>
      </w:r>
    </w:p>
    <w:p w14:paraId="222351FA" w14:textId="77777777" w:rsidR="00FB56C6" w:rsidRPr="00DC1F28" w:rsidRDefault="00000000">
      <w:pPr>
        <w:spacing w:after="60"/>
        <w:jc w:val="center"/>
        <w:rPr>
          <w:highlight w:val="yellow"/>
        </w:rPr>
      </w:pPr>
      <w:r w:rsidRPr="00DC1F28">
        <w:rPr>
          <w:b/>
          <w:bCs/>
          <w:color w:val="1F3A5F"/>
          <w:sz w:val="40"/>
          <w:szCs w:val="40"/>
          <w:highlight w:val="yellow"/>
        </w:rPr>
        <w:t>Choosing Christian Community Isn’t Easy</w:t>
      </w:r>
    </w:p>
    <w:p w14:paraId="400C974C" w14:textId="3A224025" w:rsidR="00FB56C6" w:rsidRDefault="00000000">
      <w:pPr>
        <w:spacing w:after="80"/>
        <w:jc w:val="center"/>
      </w:pPr>
      <w:r w:rsidRPr="00DC1F28">
        <w:rPr>
          <w:i/>
          <w:iCs/>
          <w:color w:val="333333"/>
          <w:sz w:val="28"/>
          <w:szCs w:val="28"/>
          <w:highlight w:val="yellow"/>
        </w:rPr>
        <w:t xml:space="preserve">Identifying the Things That Hold </w:t>
      </w:r>
      <w:r w:rsidRPr="00465C02">
        <w:rPr>
          <w:i/>
          <w:iCs/>
          <w:color w:val="333333"/>
          <w:sz w:val="28"/>
          <w:szCs w:val="28"/>
          <w:highlight w:val="yellow"/>
        </w:rPr>
        <w:t xml:space="preserve">You </w:t>
      </w:r>
      <w:r w:rsidR="00465C02" w:rsidRPr="00465C02">
        <w:rPr>
          <w:i/>
          <w:iCs/>
          <w:color w:val="333333"/>
          <w:sz w:val="28"/>
          <w:szCs w:val="28"/>
          <w:highlight w:val="yellow"/>
        </w:rPr>
        <w:t>Back</w:t>
      </w:r>
    </w:p>
    <w:p w14:paraId="3E151048" w14:textId="77777777" w:rsidR="00FB56C6" w:rsidRDefault="00000000">
      <w:pPr>
        <w:spacing w:after="360"/>
        <w:jc w:val="center"/>
      </w:pPr>
      <w:r>
        <w:rPr>
          <w:color w:val="555555"/>
          <w:sz w:val="20"/>
          <w:szCs w:val="20"/>
        </w:rPr>
        <w:t>Luke 14:15–24 · 1 Corinthians 12:15–21 · Hebrews 10:19–25</w:t>
      </w:r>
    </w:p>
    <w:p w14:paraId="491E738C" w14:textId="77777777" w:rsidR="00FB56C6" w:rsidRDefault="00000000">
      <w:pPr>
        <w:pStyle w:val="Heading1"/>
        <w:keepNext/>
        <w:pBdr>
          <w:bottom w:val="single" w:sz="6" w:space="4" w:color="2E5C8A"/>
        </w:pBdr>
        <w:spacing w:before="400" w:after="80"/>
      </w:pPr>
      <w:r>
        <w:rPr>
          <w:b/>
          <w:bCs/>
          <w:color w:val="1F3A5F"/>
          <w:sz w:val="28"/>
          <w:szCs w:val="28"/>
        </w:rPr>
        <w:t>Introduction</w:t>
      </w:r>
    </w:p>
    <w:p w14:paraId="30439016" w14:textId="77777777" w:rsidR="00FB56C6" w:rsidRDefault="00000000">
      <w:pPr>
        <w:spacing w:after="180" w:line="320" w:lineRule="auto"/>
      </w:pPr>
      <w:r w:rsidRPr="009607ED">
        <w:t>Last week we made the case that God doesn’t want you alone. You were designed by God to need others, and the evidence is everywhere: in our biology, in our personalities, and even in the way the Spirit hands out spiritual gifts.</w:t>
      </w:r>
    </w:p>
    <w:p w14:paraId="2AFB67BF" w14:textId="77777777" w:rsidR="00FB56C6" w:rsidRDefault="00000000">
      <w:pPr>
        <w:spacing w:after="180" w:line="320" w:lineRule="auto"/>
      </w:pPr>
      <w:r>
        <w:t xml:space="preserve">But if we all agree on that, why is it so hard to </w:t>
      </w:r>
      <w:proofErr w:type="gramStart"/>
      <w:r>
        <w:t>actually do</w:t>
      </w:r>
      <w:proofErr w:type="gramEnd"/>
      <w:r>
        <w:t xml:space="preserve"> it?</w:t>
      </w:r>
    </w:p>
    <w:p w14:paraId="78D423C2" w14:textId="77777777" w:rsidR="00DC1F28" w:rsidRDefault="00000000" w:rsidP="00DC1F28">
      <w:pPr>
        <w:spacing w:after="180" w:line="320" w:lineRule="auto"/>
      </w:pPr>
      <w:r>
        <w:t>Let me propose an idea this week:</w:t>
      </w:r>
    </w:p>
    <w:p w14:paraId="52778EAB" w14:textId="4E038A0E" w:rsidR="00FB56C6" w:rsidRDefault="00000000" w:rsidP="00DC1F28">
      <w:pPr>
        <w:spacing w:after="180" w:line="320" w:lineRule="auto"/>
      </w:pPr>
      <w:r w:rsidRPr="00DC1F28">
        <w:rPr>
          <w:b/>
          <w:bCs/>
          <w:highlight w:val="yellow"/>
        </w:rPr>
        <w:t>Most of us aren’t kept from community by a lie. We’re kept from it by a reasonable excuse.</w:t>
      </w:r>
    </w:p>
    <w:p w14:paraId="4FA90AA4" w14:textId="77777777" w:rsidR="00FB56C6" w:rsidRDefault="00000000">
      <w:pPr>
        <w:spacing w:after="180" w:line="320" w:lineRule="auto"/>
      </w:pPr>
      <w:r>
        <w:t>Let me address the three most common reasonable ways the enemy keeps us out of Christian community:</w:t>
      </w:r>
    </w:p>
    <w:p w14:paraId="5014DA4E" w14:textId="218AC8F2" w:rsidR="00DC1F28" w:rsidRPr="00615B2B" w:rsidRDefault="00DC1F28">
      <w:pPr>
        <w:spacing w:after="180" w:line="320" w:lineRule="auto"/>
        <w:rPr>
          <w:b/>
          <w:bCs/>
          <w:highlight w:val="yellow"/>
        </w:rPr>
      </w:pPr>
      <w:r w:rsidRPr="00615B2B">
        <w:rPr>
          <w:b/>
          <w:bCs/>
          <w:highlight w:val="yellow"/>
        </w:rPr>
        <w:t xml:space="preserve">The three </w:t>
      </w:r>
      <w:r w:rsidR="00615B2B" w:rsidRPr="00615B2B">
        <w:rPr>
          <w:b/>
          <w:bCs/>
          <w:highlight w:val="yellow"/>
        </w:rPr>
        <w:t xml:space="preserve">reasonable reasons we struggle with Christian community. </w:t>
      </w:r>
    </w:p>
    <w:p w14:paraId="230A0B39" w14:textId="77777777" w:rsidR="00FB56C6" w:rsidRPr="00615B2B" w:rsidRDefault="00000000">
      <w:pPr>
        <w:pStyle w:val="ListParagraph"/>
        <w:numPr>
          <w:ilvl w:val="0"/>
          <w:numId w:val="2"/>
        </w:numPr>
        <w:spacing w:after="80" w:line="300" w:lineRule="auto"/>
        <w:rPr>
          <w:highlight w:val="yellow"/>
        </w:rPr>
      </w:pPr>
      <w:r w:rsidRPr="00615B2B">
        <w:rPr>
          <w:b/>
          <w:bCs/>
          <w:highlight w:val="yellow"/>
        </w:rPr>
        <w:t>The full calendar.</w:t>
      </w:r>
    </w:p>
    <w:p w14:paraId="535D54C9" w14:textId="77777777" w:rsidR="00FB56C6" w:rsidRPr="00615B2B" w:rsidRDefault="00000000">
      <w:pPr>
        <w:pStyle w:val="ListParagraph"/>
        <w:numPr>
          <w:ilvl w:val="0"/>
          <w:numId w:val="2"/>
        </w:numPr>
        <w:spacing w:after="80" w:line="300" w:lineRule="auto"/>
        <w:rPr>
          <w:highlight w:val="yellow"/>
        </w:rPr>
      </w:pPr>
      <w:r w:rsidRPr="00615B2B">
        <w:rPr>
          <w:b/>
          <w:bCs/>
          <w:highlight w:val="yellow"/>
        </w:rPr>
        <w:t>The inner critic.</w:t>
      </w:r>
    </w:p>
    <w:p w14:paraId="3E8A7D02" w14:textId="77777777" w:rsidR="00FB56C6" w:rsidRPr="00615B2B" w:rsidRDefault="00000000">
      <w:pPr>
        <w:pStyle w:val="ListParagraph"/>
        <w:numPr>
          <w:ilvl w:val="0"/>
          <w:numId w:val="2"/>
        </w:numPr>
        <w:spacing w:after="80" w:line="300" w:lineRule="auto"/>
        <w:rPr>
          <w:highlight w:val="yellow"/>
        </w:rPr>
      </w:pPr>
      <w:r w:rsidRPr="00615B2B">
        <w:rPr>
          <w:b/>
          <w:bCs/>
          <w:highlight w:val="yellow"/>
        </w:rPr>
        <w:t>The wounds of the past.</w:t>
      </w:r>
    </w:p>
    <w:p w14:paraId="61EA9555" w14:textId="77777777" w:rsidR="00FB56C6" w:rsidRPr="00615B2B" w:rsidRDefault="00000000">
      <w:pPr>
        <w:pStyle w:val="Heading1"/>
        <w:keepNext/>
        <w:pBdr>
          <w:bottom w:val="single" w:sz="6" w:space="4" w:color="2E5C8A"/>
        </w:pBdr>
        <w:spacing w:before="400" w:after="80"/>
        <w:rPr>
          <w:highlight w:val="yellow"/>
        </w:rPr>
      </w:pPr>
      <w:r w:rsidRPr="00615B2B">
        <w:rPr>
          <w:b/>
          <w:bCs/>
          <w:color w:val="1F3A5F"/>
          <w:sz w:val="28"/>
          <w:szCs w:val="28"/>
          <w:highlight w:val="yellow"/>
        </w:rPr>
        <w:t>Reason #1: The Full Calendar</w:t>
      </w:r>
    </w:p>
    <w:p w14:paraId="7F6FD563" w14:textId="77777777" w:rsidR="00FB56C6" w:rsidRPr="00615B2B" w:rsidRDefault="00000000">
      <w:pPr>
        <w:keepNext/>
        <w:spacing w:before="120" w:after="120"/>
        <w:rPr>
          <w:highlight w:val="yellow"/>
        </w:rPr>
      </w:pPr>
      <w:r w:rsidRPr="00615B2B">
        <w:rPr>
          <w:b/>
          <w:bCs/>
          <w:color w:val="2E5C8A"/>
          <w:sz w:val="22"/>
          <w:szCs w:val="22"/>
          <w:highlight w:val="yellow"/>
        </w:rPr>
        <w:t>Luke 14:15–24</w:t>
      </w:r>
    </w:p>
    <w:p w14:paraId="005A2C4F" w14:textId="77777777" w:rsidR="00FB56C6" w:rsidRDefault="00000000">
      <w:pPr>
        <w:spacing w:after="200" w:line="300" w:lineRule="auto"/>
        <w:ind w:left="720" w:right="720"/>
      </w:pPr>
      <w:r w:rsidRPr="00615B2B">
        <w:rPr>
          <w:i/>
          <w:iCs/>
        </w:rPr>
        <w:t xml:space="preserve">“But they </w:t>
      </w:r>
      <w:proofErr w:type="gramStart"/>
      <w:r w:rsidRPr="00615B2B">
        <w:rPr>
          <w:i/>
          <w:iCs/>
        </w:rPr>
        <w:t>all alike</w:t>
      </w:r>
      <w:proofErr w:type="gramEnd"/>
      <w:r w:rsidRPr="00615B2B">
        <w:rPr>
          <w:i/>
          <w:iCs/>
        </w:rPr>
        <w:t xml:space="preserve"> began to make excuses. The first said to him, ‘I have bought a field, and I must go out and see it. Please have me excused.’ And another said, ‘I have bought five </w:t>
      </w:r>
      <w:proofErr w:type="gramStart"/>
      <w:r w:rsidRPr="00615B2B">
        <w:rPr>
          <w:i/>
          <w:iCs/>
        </w:rPr>
        <w:t>yoke</w:t>
      </w:r>
      <w:proofErr w:type="gramEnd"/>
      <w:r w:rsidRPr="00615B2B">
        <w:rPr>
          <w:i/>
          <w:iCs/>
        </w:rPr>
        <w:t xml:space="preserve"> of oxen, and I go to examine them. Please have me excused.’ And another said, ‘I have married a wife, and therefore I cannot come.’”</w:t>
      </w:r>
      <w:r w:rsidRPr="00615B2B">
        <w:t xml:space="preserve"> (Luke 14:18–20 ESV)</w:t>
      </w:r>
    </w:p>
    <w:p w14:paraId="1E62710C" w14:textId="77777777" w:rsidR="00FB56C6" w:rsidRDefault="00000000">
      <w:pPr>
        <w:spacing w:after="180" w:line="320" w:lineRule="auto"/>
      </w:pPr>
      <w:r>
        <w:t xml:space="preserve">Here’s the setting. Jesus is at a Sabbath meal in the home of a prominent Pharisee (14:1). He has just healed a man in front of critical onlookers, watched the guests jockey for the places of honor at the table (vv. 7–11), and told the host to invite the poor, the crippled, the lame, and the blind (v. 13). The room is tense. </w:t>
      </w:r>
      <w:proofErr w:type="gramStart"/>
      <w:r>
        <w:t>So</w:t>
      </w:r>
      <w:proofErr w:type="gramEnd"/>
      <w:r>
        <w:t xml:space="preserve"> someone tries to lighten </w:t>
      </w:r>
      <w:r>
        <w:lastRenderedPageBreak/>
        <w:t>the mood: “Blessed is everyone who will eat bread in the kingdom of God!” (v. 15). And Jesus basically answers, “Are you sure you’ll come when you’re invited?”</w:t>
      </w:r>
    </w:p>
    <w:p w14:paraId="4197A27E" w14:textId="77777777" w:rsidR="00FB56C6" w:rsidRDefault="00000000">
      <w:pPr>
        <w:spacing w:after="180" w:line="320" w:lineRule="auto"/>
      </w:pPr>
      <w:r w:rsidRPr="00615B2B">
        <w:rPr>
          <w:highlight w:val="yellow"/>
        </w:rPr>
        <w:t>In the ancient world there was something called the double invitation.</w:t>
      </w:r>
      <w:r w:rsidRPr="00615B2B">
        <w:rPr>
          <w:rStyle w:val="FootnoteReference"/>
          <w:highlight w:val="yellow"/>
        </w:rPr>
        <w:footnoteReference w:id="1"/>
      </w:r>
      <w:r w:rsidRPr="00615B2B">
        <w:rPr>
          <w:highlight w:val="yellow"/>
        </w:rPr>
        <w:t xml:space="preserve"> The first invitation went out so the host would know how much food to prepare. The second came on the day itself: “Come, for everything is now ready” (v. 17). </w:t>
      </w:r>
      <w:r w:rsidRPr="00615B2B">
        <w:t>That’s the call these guests are refusing. Which means every one of these reasonable excuses came from someone who had already said, “Yes, I want to be at your table.” They didn’t reject the invitation. They just got busy.</w:t>
      </w:r>
    </w:p>
    <w:p w14:paraId="7141886C" w14:textId="3C8E8EBA" w:rsidR="00FB56C6" w:rsidRDefault="00000000">
      <w:pPr>
        <w:spacing w:after="180" w:line="320" w:lineRule="auto"/>
      </w:pPr>
      <w:r>
        <w:t xml:space="preserve">Notice that each excuse sounds reasonable, but none of them is a surprise. </w:t>
      </w:r>
      <w:r w:rsidRPr="00615B2B">
        <w:t xml:space="preserve">Nobody buys a field without walking it first; the first guest scheduled a property deal over the dinner and decided it mattered more. Nobody buys ten oxen without testing them; the second guest could have done that any day of the week, and he chose this one. The third had a genuinely important event. The </w:t>
      </w:r>
      <w:r w:rsidR="00866DF6">
        <w:t>l</w:t>
      </w:r>
      <w:r w:rsidRPr="00615B2B">
        <w:t>aw even gave a newly married man a year off from military duty (</w:t>
      </w:r>
      <w:proofErr w:type="spellStart"/>
      <w:r w:rsidRPr="00615B2B">
        <w:t>Deut</w:t>
      </w:r>
      <w:proofErr w:type="spellEnd"/>
      <w:r w:rsidRPr="00615B2B">
        <w:t xml:space="preserve"> 24:5). But he planned his wedding over the master’s dinner and treated the feast like a draft notice.</w:t>
      </w:r>
      <w:r w:rsidRPr="00615B2B">
        <w:rPr>
          <w:rStyle w:val="FootnoteReference"/>
        </w:rPr>
        <w:footnoteReference w:id="2"/>
      </w:r>
    </w:p>
    <w:p w14:paraId="7A1B9077" w14:textId="77777777" w:rsidR="00FB56C6" w:rsidRDefault="00000000">
      <w:pPr>
        <w:spacing w:after="180" w:line="320" w:lineRule="auto"/>
      </w:pPr>
      <w:r w:rsidRPr="00615B2B">
        <w:rPr>
          <w:highlight w:val="yellow"/>
        </w:rPr>
        <w:t xml:space="preserve">Even the word translated “make excuses,” </w:t>
      </w:r>
      <w:proofErr w:type="spellStart"/>
      <w:r w:rsidRPr="00615B2B">
        <w:rPr>
          <w:i/>
          <w:iCs/>
          <w:highlight w:val="yellow"/>
        </w:rPr>
        <w:t>paraiteomai</w:t>
      </w:r>
      <w:proofErr w:type="spellEnd"/>
      <w:r w:rsidRPr="00615B2B">
        <w:rPr>
          <w:highlight w:val="yellow"/>
        </w:rPr>
        <w:t>, is polite.</w:t>
      </w:r>
      <w:r w:rsidRPr="00615B2B">
        <w:rPr>
          <w:rStyle w:val="FootnoteReference"/>
          <w:highlight w:val="yellow"/>
        </w:rPr>
        <w:footnoteReference w:id="3"/>
      </w:r>
      <w:r w:rsidRPr="00615B2B">
        <w:rPr>
          <w:highlight w:val="yellow"/>
        </w:rPr>
        <w:t xml:space="preserve"> “Please have me excused.” Nobody curses the host. Nobody storms out. There are no rebels against God in this story, only people who always seem to have something reasonably important that </w:t>
      </w:r>
      <w:proofErr w:type="gramStart"/>
      <w:r w:rsidRPr="00615B2B">
        <w:rPr>
          <w:highlight w:val="yellow"/>
        </w:rPr>
        <w:t>has to</w:t>
      </w:r>
      <w:proofErr w:type="gramEnd"/>
      <w:r w:rsidRPr="00615B2B">
        <w:rPr>
          <w:highlight w:val="yellow"/>
        </w:rPr>
        <w:t xml:space="preserve"> come first.</w:t>
      </w:r>
    </w:p>
    <w:p w14:paraId="0E822164" w14:textId="310BCC74" w:rsidR="00FB56C6" w:rsidRDefault="00000000">
      <w:pPr>
        <w:spacing w:after="180" w:line="320" w:lineRule="auto"/>
      </w:pPr>
      <w:r>
        <w:t xml:space="preserve">That’s still the most common story today. </w:t>
      </w:r>
      <w:r w:rsidRPr="00615B2B">
        <w:rPr>
          <w:highlight w:val="yellow"/>
        </w:rPr>
        <w:t>When Lifeway Research asked formerly churched adults why they stopped attending, most didn’t point to doubt or anger.</w:t>
      </w:r>
      <w:r w:rsidR="00615B2B">
        <w:rPr>
          <w:highlight w:val="yellow"/>
        </w:rPr>
        <w:t xml:space="preserve"> T</w:t>
      </w:r>
      <w:r w:rsidRPr="00615B2B">
        <w:rPr>
          <w:highlight w:val="yellow"/>
        </w:rPr>
        <w:t>he single biggest reason was “I simply got too busy.”</w:t>
      </w:r>
      <w:r w:rsidRPr="00615B2B">
        <w:rPr>
          <w:rStyle w:val="FootnoteReference"/>
          <w:highlight w:val="yellow"/>
        </w:rPr>
        <w:footnoteReference w:id="4"/>
      </w:r>
      <w:r w:rsidRPr="00615B2B">
        <w:rPr>
          <w:highlight w:val="yellow"/>
        </w:rPr>
        <w:t xml:space="preserve"> Most people don’t storm out of church. They get booked up.</w:t>
      </w:r>
      <w:r>
        <w:rPr>
          <w:rStyle w:val="FootnoteReference"/>
        </w:rPr>
        <w:footnoteReference w:id="5"/>
      </w:r>
    </w:p>
    <w:p w14:paraId="3147AC0E" w14:textId="77777777" w:rsidR="00FB56C6" w:rsidRDefault="00000000">
      <w:pPr>
        <w:spacing w:after="180" w:line="320" w:lineRule="auto"/>
      </w:pPr>
      <w:r>
        <w:lastRenderedPageBreak/>
        <w:t xml:space="preserve">So let me ask you something. </w:t>
      </w:r>
      <w:r w:rsidRPr="00615B2B">
        <w:rPr>
          <w:highlight w:val="yellow"/>
        </w:rPr>
        <w:t>How would you respond, as a modern, individualistic person, if I said, “Your time with God and His people should be of the highest importance in your life”?</w:t>
      </w:r>
    </w:p>
    <w:p w14:paraId="25A06DCE" w14:textId="77777777" w:rsidR="00FB56C6" w:rsidRDefault="00000000">
      <w:pPr>
        <w:spacing w:after="180" w:line="320" w:lineRule="auto"/>
      </w:pPr>
      <w:r>
        <w:t xml:space="preserve">Before you get offended, let’s let the text speak for itself. </w:t>
      </w:r>
      <w:r w:rsidRPr="00615B2B">
        <w:rPr>
          <w:highlight w:val="yellow"/>
        </w:rPr>
        <w:t xml:space="preserve">Hebrews 10:25 says, “Not forsaking the assembling of ourselves together, as the manner of some is” (KJV). That word </w:t>
      </w:r>
      <w:r w:rsidRPr="00615B2B">
        <w:rPr>
          <w:i/>
          <w:iCs/>
          <w:highlight w:val="yellow"/>
        </w:rPr>
        <w:t>forsake</w:t>
      </w:r>
      <w:r w:rsidRPr="00615B2B">
        <w:rPr>
          <w:highlight w:val="yellow"/>
        </w:rPr>
        <w:t xml:space="preserve">, </w:t>
      </w:r>
      <w:proofErr w:type="spellStart"/>
      <w:r w:rsidRPr="00615B2B">
        <w:rPr>
          <w:i/>
          <w:iCs/>
          <w:highlight w:val="yellow"/>
        </w:rPr>
        <w:t>enkataleipō</w:t>
      </w:r>
      <w:proofErr w:type="spellEnd"/>
      <w:r w:rsidRPr="00615B2B">
        <w:rPr>
          <w:highlight w:val="yellow"/>
        </w:rPr>
        <w:t>, is the same word the Gospel writers use for Jesus’ cry from the cross: “My God, my God, why have you forsaken me?” (Matt 27:46).</w:t>
      </w:r>
      <w:r w:rsidRPr="00615B2B">
        <w:rPr>
          <w:rStyle w:val="FootnoteReference"/>
          <w:highlight w:val="yellow"/>
        </w:rPr>
        <w:footnoteReference w:id="6"/>
      </w:r>
      <w:r w:rsidRPr="00615B2B">
        <w:rPr>
          <w:highlight w:val="yellow"/>
        </w:rPr>
        <w:t xml:space="preserve"> The Bible takes this seriously. Fighting to keep Christian community a priority isn’t a side issue. It matters.</w:t>
      </w:r>
    </w:p>
    <w:p w14:paraId="16A12DB6" w14:textId="77777777" w:rsidR="00FB56C6" w:rsidRDefault="00000000">
      <w:pPr>
        <w:pBdr>
          <w:left w:val="single" w:sz="18" w:space="10" w:color="2E5C8A"/>
        </w:pBdr>
        <w:spacing w:before="80" w:after="200" w:line="320" w:lineRule="auto"/>
        <w:ind w:left="360"/>
      </w:pPr>
      <w:r w:rsidRPr="00615B2B">
        <w:rPr>
          <w:b/>
          <w:bCs/>
          <w:highlight w:val="yellow"/>
        </w:rPr>
        <w:t xml:space="preserve">Question to consider: </w:t>
      </w:r>
      <w:r w:rsidRPr="00615B2B">
        <w:rPr>
          <w:highlight w:val="yellow"/>
        </w:rPr>
        <w:t>What reasonable things get in the way of you gathering with the believers?</w:t>
      </w:r>
    </w:p>
    <w:p w14:paraId="40636999" w14:textId="77777777" w:rsidR="00FB56C6" w:rsidRPr="00615B2B" w:rsidRDefault="00000000">
      <w:pPr>
        <w:pStyle w:val="Heading1"/>
        <w:keepNext/>
        <w:pBdr>
          <w:bottom w:val="single" w:sz="6" w:space="4" w:color="2E5C8A"/>
        </w:pBdr>
        <w:spacing w:before="400" w:after="80"/>
        <w:rPr>
          <w:highlight w:val="yellow"/>
        </w:rPr>
      </w:pPr>
      <w:r w:rsidRPr="00615B2B">
        <w:rPr>
          <w:b/>
          <w:bCs/>
          <w:color w:val="1F3A5F"/>
          <w:sz w:val="28"/>
          <w:szCs w:val="28"/>
          <w:highlight w:val="yellow"/>
        </w:rPr>
        <w:t>Reason #2: The Inner Critic</w:t>
      </w:r>
    </w:p>
    <w:p w14:paraId="40D6DB30" w14:textId="77777777" w:rsidR="00FB56C6" w:rsidRPr="00615B2B" w:rsidRDefault="00000000">
      <w:pPr>
        <w:keepNext/>
        <w:spacing w:before="120" w:after="120"/>
        <w:rPr>
          <w:highlight w:val="yellow"/>
        </w:rPr>
      </w:pPr>
      <w:r w:rsidRPr="00615B2B">
        <w:rPr>
          <w:b/>
          <w:bCs/>
          <w:color w:val="2E5C8A"/>
          <w:sz w:val="22"/>
          <w:szCs w:val="22"/>
          <w:highlight w:val="yellow"/>
        </w:rPr>
        <w:t>1 Corinthians 12:15, 21</w:t>
      </w:r>
    </w:p>
    <w:p w14:paraId="0DA39AA8" w14:textId="77777777" w:rsidR="00FB56C6" w:rsidRDefault="00000000">
      <w:pPr>
        <w:spacing w:after="200" w:line="300" w:lineRule="auto"/>
        <w:ind w:left="720" w:right="720"/>
      </w:pPr>
      <w:r w:rsidRPr="00615B2B">
        <w:rPr>
          <w:i/>
          <w:iCs/>
        </w:rPr>
        <w:t>“If the foot should say, ‘Because I am not a hand, I do not belong to the body,’ that would not make it any less a part of the body.… The eye cannot say to the hand, ‘I have no need of you,’ nor again the head to the feet, ‘I have no need of you.’”</w:t>
      </w:r>
      <w:r w:rsidRPr="00615B2B">
        <w:t xml:space="preserve"> (1 Cor 12:15, 21 ESV)</w:t>
      </w:r>
    </w:p>
    <w:p w14:paraId="5870C6D1" w14:textId="77777777" w:rsidR="00FB56C6" w:rsidRDefault="00000000">
      <w:pPr>
        <w:spacing w:after="180" w:line="320" w:lineRule="auto"/>
      </w:pPr>
      <w:r>
        <w:t>Corinth was a talented, divided church. They split over leaders (1:10–12), over economic class at the Lord’s Supper (11:17–22), and over which spiritual gifts mattered most (chapters 12–14).</w:t>
      </w:r>
    </w:p>
    <w:p w14:paraId="79882B12" w14:textId="77777777" w:rsidR="00FB56C6" w:rsidRDefault="00000000">
      <w:pPr>
        <w:spacing w:after="180" w:line="320" w:lineRule="auto"/>
      </w:pPr>
      <w:r>
        <w:t xml:space="preserve">Now, Paul’s body metaphor wasn’t new. Roman audiences knew the fable of </w:t>
      </w:r>
      <w:proofErr w:type="spellStart"/>
      <w:r>
        <w:t>Menenius</w:t>
      </w:r>
      <w:proofErr w:type="spellEnd"/>
      <w:r>
        <w:t xml:space="preserve"> Agrippa.</w:t>
      </w:r>
      <w:r>
        <w:rPr>
          <w:rStyle w:val="FootnoteReference"/>
        </w:rPr>
        <w:footnoteReference w:id="7"/>
      </w:r>
      <w:r>
        <w:t xml:space="preserve"> As the story goes, the limbs of the body grew resentful of the stomach. It just sat there, they said, while they did all the work. </w:t>
      </w:r>
      <w:proofErr w:type="gramStart"/>
      <w:r>
        <w:t>So</w:t>
      </w:r>
      <w:proofErr w:type="gramEnd"/>
      <w:r>
        <w:t xml:space="preserve"> they went on strike and stopped feeding it, and soon the whole body was starving, the limbs included. Rome drew a simple moral: know your place. The common people, the limbs, should keep working for the elite, the stomach, because if the stomach starves, so do you.</w:t>
      </w:r>
    </w:p>
    <w:p w14:paraId="77E947FF" w14:textId="77777777" w:rsidR="00FB56C6" w:rsidRDefault="00000000">
      <w:pPr>
        <w:spacing w:after="180" w:line="320" w:lineRule="auto"/>
      </w:pPr>
      <w:r>
        <w:lastRenderedPageBreak/>
        <w:t xml:space="preserve">Paul flips that story on its head. </w:t>
      </w:r>
      <w:r w:rsidRPr="00615B2B">
        <w:rPr>
          <w:highlight w:val="yellow"/>
        </w:rPr>
        <w:t>In Christ’s body, the parts that seem weaker are indispensable, and the parts we think less honorable receive greater honor (vv. 22–24).</w:t>
      </w:r>
      <w:r w:rsidRPr="00615B2B">
        <w:rPr>
          <w:rStyle w:val="FootnoteReference"/>
          <w:highlight w:val="yellow"/>
        </w:rPr>
        <w:footnoteReference w:id="8"/>
      </w:r>
      <w:r w:rsidRPr="00615B2B">
        <w:rPr>
          <w:highlight w:val="yellow"/>
        </w:rPr>
        <w:t xml:space="preserve"> And here’s what’s interesting. Paul doesn’t only confront the proud members, the eye and the head who say, “I have no need of you.” He also confronts the foot and the ear, who disqualify themselves. Nobody pushed them out. They compared themselves to someone else and decided they didn’t count.</w:t>
      </w:r>
      <w:r>
        <w:t xml:space="preserve"> In Corinth, some were writing themselves off because they had convinced themselves they weren’t important.</w:t>
      </w:r>
    </w:p>
    <w:p w14:paraId="4B7C0895" w14:textId="77777777" w:rsidR="00FB56C6" w:rsidRDefault="00000000">
      <w:pPr>
        <w:spacing w:after="180" w:line="320" w:lineRule="auto"/>
      </w:pPr>
      <w:r>
        <w:t>The same thing happens today. A team of psychologists found that after a conversation, people consistently underestimate how much the other person liked them and enjoyed their company. They call it the liking gap.</w:t>
      </w:r>
      <w:r>
        <w:rPr>
          <w:rStyle w:val="FootnoteReference"/>
        </w:rPr>
        <w:footnoteReference w:id="9"/>
      </w:r>
      <w:r>
        <w:t xml:space="preserve"> You walked out of that lobby conversation thinking it went poorly. The other person probably walked out liking you.</w:t>
      </w:r>
    </w:p>
    <w:p w14:paraId="70621B36" w14:textId="40160997" w:rsidR="00FB56C6" w:rsidRDefault="00000000">
      <w:pPr>
        <w:spacing w:after="180" w:line="320" w:lineRule="auto"/>
      </w:pPr>
      <w:r w:rsidRPr="00615B2B">
        <w:rPr>
          <w:highlight w:val="yellow"/>
        </w:rPr>
        <w:t>Just like in Corinth, your inner critic will try to keep you from leaning in and participating. But verse 18 settles it: “God arranged the members in the body, each one of them, as he chose.” Your</w:t>
      </w:r>
      <w:r w:rsidR="00615B2B">
        <w:rPr>
          <w:highlight w:val="yellow"/>
        </w:rPr>
        <w:t xml:space="preserve"> flu</w:t>
      </w:r>
      <w:r w:rsidR="00554627">
        <w:rPr>
          <w:highlight w:val="yellow"/>
        </w:rPr>
        <w:t>ct</w:t>
      </w:r>
      <w:r w:rsidR="00615B2B">
        <w:rPr>
          <w:highlight w:val="yellow"/>
        </w:rPr>
        <w:t>uating</w:t>
      </w:r>
      <w:r w:rsidRPr="00615B2B">
        <w:rPr>
          <w:highlight w:val="yellow"/>
        </w:rPr>
        <w:t xml:space="preserve"> feelings don’t get the final vote on whether you belong</w:t>
      </w:r>
      <w:r w:rsidR="00615B2B">
        <w:rPr>
          <w:highlight w:val="yellow"/>
        </w:rPr>
        <w:t>. Jesus does</w:t>
      </w:r>
      <w:r w:rsidRPr="00615B2B">
        <w:rPr>
          <w:highlight w:val="yellow"/>
        </w:rPr>
        <w:t>.</w:t>
      </w:r>
      <w:r>
        <w:t xml:space="preserve"> So not only do we need to push back against false hierarchy out there; we </w:t>
      </w:r>
      <w:proofErr w:type="gramStart"/>
      <w:r>
        <w:t>have to</w:t>
      </w:r>
      <w:proofErr w:type="gramEnd"/>
      <w:r>
        <w:t xml:space="preserve"> resist it in here.</w:t>
      </w:r>
    </w:p>
    <w:p w14:paraId="7EBAD3B6" w14:textId="77777777" w:rsidR="00FB56C6" w:rsidRDefault="00000000">
      <w:pPr>
        <w:pBdr>
          <w:left w:val="single" w:sz="18" w:space="10" w:color="2E5C8A"/>
        </w:pBdr>
        <w:spacing w:before="80" w:after="200" w:line="320" w:lineRule="auto"/>
        <w:ind w:left="360"/>
      </w:pPr>
      <w:r>
        <w:rPr>
          <w:b/>
          <w:bCs/>
        </w:rPr>
        <w:t xml:space="preserve">Everyone repeat after me: </w:t>
      </w:r>
      <w:r w:rsidRPr="00615B2B">
        <w:rPr>
          <w:highlight w:val="yellow"/>
        </w:rPr>
        <w:t>“Our church family is better when I am present with an open heart, ready to engage.”</w:t>
      </w:r>
    </w:p>
    <w:p w14:paraId="6058D8F0" w14:textId="77777777" w:rsidR="00FB56C6" w:rsidRPr="00615B2B" w:rsidRDefault="00000000">
      <w:pPr>
        <w:pStyle w:val="Heading1"/>
        <w:keepNext/>
        <w:pBdr>
          <w:bottom w:val="single" w:sz="6" w:space="4" w:color="2E5C8A"/>
        </w:pBdr>
        <w:spacing w:before="400" w:after="80"/>
        <w:rPr>
          <w:highlight w:val="yellow"/>
        </w:rPr>
      </w:pPr>
      <w:r>
        <w:rPr>
          <w:b/>
          <w:bCs/>
          <w:color w:val="1F3A5F"/>
          <w:sz w:val="28"/>
          <w:szCs w:val="28"/>
        </w:rPr>
        <w:t xml:space="preserve">Reason #3: </w:t>
      </w:r>
      <w:r w:rsidRPr="00615B2B">
        <w:rPr>
          <w:b/>
          <w:bCs/>
          <w:color w:val="1F3A5F"/>
          <w:sz w:val="28"/>
          <w:szCs w:val="28"/>
          <w:highlight w:val="yellow"/>
        </w:rPr>
        <w:t>The Wounds of the Past</w:t>
      </w:r>
    </w:p>
    <w:p w14:paraId="4B8757B6" w14:textId="77777777" w:rsidR="00FB56C6" w:rsidRPr="00615B2B" w:rsidRDefault="00000000">
      <w:pPr>
        <w:spacing w:after="180" w:line="320" w:lineRule="auto"/>
      </w:pPr>
      <w:r w:rsidRPr="00615B2B">
        <w:t>Let’s circle back to Hebrews 10, but this time let’s look at the expanded text.</w:t>
      </w:r>
    </w:p>
    <w:p w14:paraId="223CC9DE" w14:textId="77777777" w:rsidR="00FB56C6" w:rsidRPr="00615B2B" w:rsidRDefault="00000000">
      <w:pPr>
        <w:keepNext/>
        <w:spacing w:before="120" w:after="120"/>
        <w:rPr>
          <w:highlight w:val="yellow"/>
        </w:rPr>
      </w:pPr>
      <w:r w:rsidRPr="00615B2B">
        <w:rPr>
          <w:b/>
          <w:bCs/>
          <w:color w:val="2E5C8A"/>
          <w:sz w:val="22"/>
          <w:szCs w:val="22"/>
          <w:highlight w:val="yellow"/>
        </w:rPr>
        <w:t>Hebrews 10:19–25</w:t>
      </w:r>
    </w:p>
    <w:p w14:paraId="111920F1" w14:textId="77777777" w:rsidR="00FB56C6" w:rsidRDefault="00000000">
      <w:pPr>
        <w:spacing w:after="200" w:line="300" w:lineRule="auto"/>
        <w:ind w:left="720" w:right="720"/>
      </w:pPr>
      <w:r w:rsidRPr="00615B2B">
        <w:rPr>
          <w:i/>
          <w:iCs/>
        </w:rPr>
        <w:t xml:space="preserve">“Therefore, brothers and sisters, since we have confidence to enter the Most Holy Place by the blood of Jesus, by a new and living way opened for us through the curtain, that is, his body, and since we have a great priest over the house of God, let us draw near to God with a sincere heart and with the full assurance that faith brings, having our hearts sprinkled to cleanse us from a guilty conscience and having our bodies washed </w:t>
      </w:r>
      <w:r w:rsidRPr="00615B2B">
        <w:rPr>
          <w:i/>
          <w:iCs/>
        </w:rPr>
        <w:lastRenderedPageBreak/>
        <w:t xml:space="preserve">with pure water. Let us hold unswervingly to the hope we profess, for he who promised is faithful. And let us consider how we may spur one another on toward love and good deeds, not giving up meeting together, as some are in the habit of doing, but encouraging one another—and </w:t>
      </w:r>
      <w:proofErr w:type="gramStart"/>
      <w:r w:rsidRPr="00615B2B">
        <w:rPr>
          <w:i/>
          <w:iCs/>
        </w:rPr>
        <w:t>all the more</w:t>
      </w:r>
      <w:proofErr w:type="gramEnd"/>
      <w:r w:rsidRPr="00615B2B">
        <w:rPr>
          <w:i/>
          <w:iCs/>
        </w:rPr>
        <w:t xml:space="preserve"> as you see the Day approaching.”</w:t>
      </w:r>
      <w:r w:rsidRPr="00615B2B">
        <w:t xml:space="preserve"> (Heb 10:19–25 NIV)</w:t>
      </w:r>
    </w:p>
    <w:p w14:paraId="0C11887C" w14:textId="39A5BBE9" w:rsidR="00FB56C6" w:rsidRDefault="00000000">
      <w:pPr>
        <w:spacing w:after="180" w:line="320" w:lineRule="auto"/>
      </w:pPr>
      <w:r w:rsidRPr="00615B2B">
        <w:rPr>
          <w:highlight w:val="yellow"/>
        </w:rPr>
        <w:t xml:space="preserve">Hebrews is a sermon written to Jewish believers under pressure. They had faced public shaming, friends thrown in prison, and property seized (10:32–34). They were being </w:t>
      </w:r>
      <w:r w:rsidR="00615B2B">
        <w:rPr>
          <w:highlight w:val="yellow"/>
        </w:rPr>
        <w:t>influenced by “</w:t>
      </w:r>
      <w:r w:rsidR="00967063">
        <w:rPr>
          <w:highlight w:val="yellow"/>
        </w:rPr>
        <w:t>leaders</w:t>
      </w:r>
      <w:r w:rsidR="00615B2B">
        <w:rPr>
          <w:highlight w:val="yellow"/>
        </w:rPr>
        <w:t>” teaching</w:t>
      </w:r>
      <w:r w:rsidRPr="00615B2B">
        <w:rPr>
          <w:highlight w:val="yellow"/>
        </w:rPr>
        <w:t xml:space="preserve"> “diverse and strange teachings” (13:9), and some of their own friends were shrinking back, quietly slipping away to safer ground (10:38–39).</w:t>
      </w:r>
    </w:p>
    <w:p w14:paraId="17ADA2BD" w14:textId="77777777" w:rsidR="00FB56C6" w:rsidRDefault="00000000">
      <w:pPr>
        <w:spacing w:after="180" w:line="320" w:lineRule="auto"/>
      </w:pPr>
      <w:r w:rsidRPr="00615B2B">
        <w:rPr>
          <w:highlight w:val="yellow"/>
        </w:rPr>
        <w:t>These people knew church hurt in a significant way. If anyone had a reason to shrink back, they did.</w:t>
      </w:r>
      <w:r>
        <w:t xml:space="preserve"> And they aren’t alone. In Lifeway’s research, more than a third of formerly churched adults said they had become disenchanted with their pastor or church. Some felt judged, and some felt shut out by a clique.</w:t>
      </w:r>
      <w:r>
        <w:rPr>
          <w:rStyle w:val="FootnoteReference"/>
        </w:rPr>
        <w:footnoteReference w:id="10"/>
      </w:r>
    </w:p>
    <w:p w14:paraId="7B48EE25" w14:textId="77777777" w:rsidR="00FB56C6" w:rsidRDefault="00000000">
      <w:pPr>
        <w:spacing w:after="180" w:line="320" w:lineRule="auto"/>
      </w:pPr>
      <w:r>
        <w:t xml:space="preserve">Notice what happens in this text. </w:t>
      </w:r>
      <w:r w:rsidRPr="00967063">
        <w:rPr>
          <w:highlight w:val="yellow"/>
        </w:rPr>
        <w:t>Their confidence and strength to participate in Christian community isn’t found in people. It’s found in Jesus. “We have confidence … by the blood of Jesus” (v. 19). “We have a great priest over the house of God” (v. 21). Only after that foundation is laid does the author say, “Let us consider one another.”</w:t>
      </w:r>
    </w:p>
    <w:p w14:paraId="37E4F834" w14:textId="77777777" w:rsidR="00FB56C6" w:rsidRDefault="00000000">
      <w:pPr>
        <w:spacing w:after="180" w:line="320" w:lineRule="auto"/>
      </w:pPr>
      <w:r w:rsidRPr="00967063">
        <w:rPr>
          <w:highlight w:val="yellow"/>
        </w:rPr>
        <w:t>This ancient sermon also acknowledges that hurt people carry something in their hearts too. A few chapters later it warns, “See to it that no one fails to obtain the grace of God; that no ‘root of bitterness’ springs up and causes trouble, and by it many become defiled” (Heb 12:15 ESV). Hurt people end up hurting people.</w:t>
      </w:r>
    </w:p>
    <w:p w14:paraId="6612B8FB" w14:textId="77777777" w:rsidR="00FB56C6" w:rsidRDefault="00000000">
      <w:pPr>
        <w:spacing w:after="180" w:line="320" w:lineRule="auto"/>
      </w:pPr>
      <w:r>
        <w:t>Now hear me carefully. If you were abused or betrayed by someone in a church, that was not your fault, and coming back to community never means going back to an unsafe person or place. Please come talk to one of us. But for most of us, the wound we carry is ordinary relational hurt, and left alone it hardens into something that keeps us at arm’s length from everyone.</w:t>
      </w:r>
    </w:p>
    <w:p w14:paraId="774F6A12" w14:textId="77777777" w:rsidR="00FB56C6" w:rsidRDefault="00000000">
      <w:pPr>
        <w:spacing w:after="180" w:line="320" w:lineRule="auto"/>
      </w:pPr>
      <w:r w:rsidRPr="00967063">
        <w:rPr>
          <w:highlight w:val="yellow"/>
        </w:rPr>
        <w:t xml:space="preserve">The power to be forgiven comes from Christ. The power not to give up comes from Christ. The power to keep loving others is modeled by Christ. And somehow, in the end, </w:t>
      </w:r>
      <w:r w:rsidRPr="00967063">
        <w:rPr>
          <w:highlight w:val="yellow"/>
        </w:rPr>
        <w:lastRenderedPageBreak/>
        <w:t>Jesus will take all our human immaturity and, by the power of Christ crucified and risen again, make something beautiful.</w:t>
      </w:r>
    </w:p>
    <w:p w14:paraId="3CA51C2A" w14:textId="77777777" w:rsidR="00FB56C6" w:rsidRDefault="00000000">
      <w:pPr>
        <w:spacing w:after="180" w:line="320" w:lineRule="auto"/>
      </w:pPr>
      <w:r>
        <w:t>Let me say it clearly. This ancient Hebrew sermon is basically saying:</w:t>
      </w:r>
    </w:p>
    <w:p w14:paraId="25365931" w14:textId="77777777" w:rsidR="00FB56C6" w:rsidRDefault="00000000" w:rsidP="00967063">
      <w:pPr>
        <w:spacing w:before="120" w:after="240" w:line="320" w:lineRule="auto"/>
      </w:pPr>
      <w:r w:rsidRPr="00967063">
        <w:rPr>
          <w:b/>
          <w:bCs/>
          <w:highlight w:val="yellow"/>
        </w:rPr>
        <w:t>Without Jesus, Christian community is impossible, and your past will poison your future presence with others.</w:t>
      </w:r>
    </w:p>
    <w:p w14:paraId="31086FCA" w14:textId="77777777" w:rsidR="00FB56C6" w:rsidRDefault="00000000">
      <w:pPr>
        <w:spacing w:after="180" w:line="320" w:lineRule="auto"/>
      </w:pPr>
      <w:r>
        <w:t>Dietrich Bonhoeffer, who led an underground seminary community under the Nazis, put it this way: “Christianity means community through Jesus Christ and in Jesus Christ. No Christian community is more or less than this.”</w:t>
      </w:r>
      <w:r>
        <w:rPr>
          <w:rStyle w:val="FootnoteReference"/>
        </w:rPr>
        <w:footnoteReference w:id="11"/>
      </w:r>
    </w:p>
    <w:p w14:paraId="2BB55AB2" w14:textId="77777777" w:rsidR="00FB56C6" w:rsidRDefault="00000000">
      <w:pPr>
        <w:pBdr>
          <w:left w:val="single" w:sz="18" w:space="10" w:color="2E5C8A"/>
        </w:pBdr>
        <w:spacing w:before="80" w:after="200" w:line="320" w:lineRule="auto"/>
        <w:ind w:left="360"/>
      </w:pPr>
      <w:r w:rsidRPr="00967063">
        <w:rPr>
          <w:b/>
          <w:bCs/>
          <w:highlight w:val="yellow"/>
        </w:rPr>
        <w:t xml:space="preserve">Question to consider: </w:t>
      </w:r>
      <w:r w:rsidRPr="00967063">
        <w:rPr>
          <w:highlight w:val="yellow"/>
        </w:rPr>
        <w:t>Is there an old wound you’ve let decide how close you get to God’s people? What would it look like to bring it to Jesus first?</w:t>
      </w:r>
    </w:p>
    <w:p w14:paraId="67652EFC" w14:textId="77777777" w:rsidR="00FB56C6" w:rsidRDefault="00000000">
      <w:pPr>
        <w:pStyle w:val="Heading1"/>
        <w:keepNext/>
        <w:pBdr>
          <w:bottom w:val="single" w:sz="6" w:space="4" w:color="2E5C8A"/>
        </w:pBdr>
        <w:spacing w:before="400" w:after="80"/>
      </w:pPr>
      <w:r>
        <w:rPr>
          <w:b/>
          <w:bCs/>
          <w:color w:val="1F3A5F"/>
          <w:sz w:val="28"/>
          <w:szCs w:val="28"/>
        </w:rPr>
        <w:t>Closing</w:t>
      </w:r>
    </w:p>
    <w:p w14:paraId="2FC86EF6" w14:textId="77777777" w:rsidR="00FB56C6" w:rsidRDefault="00000000">
      <w:pPr>
        <w:spacing w:after="180" w:line="320" w:lineRule="auto"/>
      </w:pPr>
      <w:proofErr w:type="gramStart"/>
      <w:r>
        <w:t>So</w:t>
      </w:r>
      <w:proofErr w:type="gramEnd"/>
      <w:r>
        <w:t xml:space="preserve"> here’s where we land. The full calendar says, “I’m busy.” The inner critic says, “I don’t belong.” The old wound says, “I don’t need them.” All three sound reasonable. All three leave the same thing behind: an empty chair.</w:t>
      </w:r>
    </w:p>
    <w:p w14:paraId="37559F0C" w14:textId="77777777" w:rsidR="00FB56C6" w:rsidRDefault="00000000">
      <w:pPr>
        <w:spacing w:after="180" w:line="320" w:lineRule="auto"/>
      </w:pPr>
      <w:r>
        <w:t xml:space="preserve">But remember that word </w:t>
      </w:r>
      <w:r>
        <w:rPr>
          <w:i/>
          <w:iCs/>
        </w:rPr>
        <w:t>forsake</w:t>
      </w:r>
      <w:r>
        <w:t>. Jesus cried it from the cross so that God could make us this promise in Hebrews 13:5: “I will never leave you nor forsake you.”</w:t>
      </w:r>
    </w:p>
    <w:p w14:paraId="6AC3545E" w14:textId="77777777" w:rsidR="00FB56C6" w:rsidRDefault="00000000" w:rsidP="00967063">
      <w:pPr>
        <w:spacing w:before="120" w:after="240" w:line="320" w:lineRule="auto"/>
      </w:pPr>
      <w:r>
        <w:rPr>
          <w:b/>
          <w:bCs/>
        </w:rPr>
        <w:t xml:space="preserve">Jesus was forsaken so that we would never be. </w:t>
      </w:r>
      <w:proofErr w:type="gramStart"/>
      <w:r>
        <w:rPr>
          <w:b/>
          <w:bCs/>
        </w:rPr>
        <w:t>So</w:t>
      </w:r>
      <w:proofErr w:type="gramEnd"/>
      <w:r>
        <w:rPr>
          <w:b/>
          <w:bCs/>
        </w:rPr>
        <w:t xml:space="preserve"> let’s stop forsaking one another.</w:t>
      </w:r>
    </w:p>
    <w:p w14:paraId="62887F26" w14:textId="77777777" w:rsidR="00FB56C6" w:rsidRDefault="00000000">
      <w:pPr>
        <w:spacing w:after="180" w:line="320" w:lineRule="auto"/>
      </w:pPr>
      <w:r>
        <w:t>Bonhoeffer again: “Christian brotherhood is not an ideal which we must realize; it is rather a reality created by God in Christ in which we may participate.”</w:t>
      </w:r>
      <w:r>
        <w:rPr>
          <w:rStyle w:val="FootnoteReference"/>
        </w:rPr>
        <w:footnoteReference w:id="12"/>
      </w:r>
      <w:r>
        <w:t xml:space="preserve"> You don’t have to build it. You just </w:t>
      </w:r>
      <w:proofErr w:type="gramStart"/>
      <w:r>
        <w:t>have to</w:t>
      </w:r>
      <w:proofErr w:type="gramEnd"/>
      <w:r>
        <w:t xml:space="preserve"> show up.</w:t>
      </w:r>
    </w:p>
    <w:p w14:paraId="2982CF50" w14:textId="77777777" w:rsidR="00FB56C6" w:rsidRDefault="00000000">
      <w:pPr>
        <w:pBdr>
          <w:left w:val="single" w:sz="18" w:space="10" w:color="2E5C8A"/>
        </w:pBdr>
        <w:spacing w:before="80" w:after="200" w:line="320" w:lineRule="auto"/>
        <w:ind w:left="360"/>
      </w:pPr>
      <w:r>
        <w:rPr>
          <w:b/>
          <w:bCs/>
        </w:rPr>
        <w:t xml:space="preserve">Next step: </w:t>
      </w:r>
      <w:r>
        <w:t>On November 1, we’ll meet the teachers of our classes and groups. Give us a six-week yes: pick one, show up six times, and then decide. And this week, think of one person you haven’t seen in a while and send them a text. That’s Hebrews 10:24 on a Tuesday.</w:t>
      </w:r>
    </w:p>
    <w:p w14:paraId="1A58093B" w14:textId="77777777" w:rsidR="00FB56C6" w:rsidRDefault="00000000">
      <w:pPr>
        <w:pStyle w:val="Heading1"/>
        <w:keepNext/>
        <w:pBdr>
          <w:bottom w:val="single" w:sz="6" w:space="4" w:color="2E5C8A"/>
        </w:pBdr>
        <w:spacing w:before="400" w:after="80"/>
      </w:pPr>
      <w:r>
        <w:rPr>
          <w:b/>
          <w:bCs/>
          <w:color w:val="1F3A5F"/>
          <w:sz w:val="28"/>
          <w:szCs w:val="28"/>
        </w:rPr>
        <w:lastRenderedPageBreak/>
        <w:t>Bibliography</w:t>
      </w:r>
    </w:p>
    <w:p w14:paraId="3E66D5C1" w14:textId="77777777" w:rsidR="00FB56C6" w:rsidRDefault="00000000">
      <w:pPr>
        <w:spacing w:after="100" w:line="280" w:lineRule="auto"/>
        <w:ind w:left="720" w:hanging="720"/>
      </w:pPr>
      <w:r>
        <w:rPr>
          <w:sz w:val="22"/>
          <w:szCs w:val="22"/>
        </w:rPr>
        <w:t>Bailey, Kenneth E. Jesus Through Middle Eastern Eyes: Cultural Studies in the Gospels. Downers Grove, IL: IVP Academic, 2008.</w:t>
      </w:r>
    </w:p>
    <w:p w14:paraId="0A23253C" w14:textId="77777777" w:rsidR="00FB56C6" w:rsidRDefault="00000000">
      <w:pPr>
        <w:spacing w:after="100" w:line="280" w:lineRule="auto"/>
        <w:ind w:left="720" w:hanging="720"/>
      </w:pPr>
      <w:r>
        <w:rPr>
          <w:sz w:val="22"/>
          <w:szCs w:val="22"/>
        </w:rPr>
        <w:t xml:space="preserve">Bauer, Walter, et al. A </w:t>
      </w:r>
      <w:proofErr w:type="gramStart"/>
      <w:r>
        <w:rPr>
          <w:sz w:val="22"/>
          <w:szCs w:val="22"/>
        </w:rPr>
        <w:t>Greek-English</w:t>
      </w:r>
      <w:proofErr w:type="gramEnd"/>
      <w:r>
        <w:rPr>
          <w:sz w:val="22"/>
          <w:szCs w:val="22"/>
        </w:rPr>
        <w:t xml:space="preserve"> Lexicon of the New Testament and Other Early Christian Literature. 3rd ed. Chicago: University of Chicago Press, 2000.</w:t>
      </w:r>
    </w:p>
    <w:p w14:paraId="0158134B" w14:textId="77777777" w:rsidR="00FB56C6" w:rsidRDefault="00000000">
      <w:pPr>
        <w:spacing w:after="100" w:line="280" w:lineRule="auto"/>
        <w:ind w:left="720" w:hanging="720"/>
      </w:pPr>
      <w:r>
        <w:rPr>
          <w:sz w:val="22"/>
          <w:szCs w:val="22"/>
        </w:rPr>
        <w:t>Bonhoeffer, Dietrich. Life Together. Translated by John W. Doberstein. New York: Harper &amp; Row, 1954.</w:t>
      </w:r>
    </w:p>
    <w:p w14:paraId="2AE8C2F8" w14:textId="77777777" w:rsidR="00FB56C6" w:rsidRDefault="00000000">
      <w:pPr>
        <w:spacing w:after="100" w:line="280" w:lineRule="auto"/>
        <w:ind w:left="720" w:hanging="720"/>
      </w:pPr>
      <w:r>
        <w:rPr>
          <w:sz w:val="22"/>
          <w:szCs w:val="22"/>
        </w:rPr>
        <w:t>Boothby, Erica J., Gus Cooney, Gillian M. Sandstrom, and Margaret S. Clark. “The Liking Gap in Conversations: Do People Like Us More Than We Think?” Psychological Science 29, no. 11 (2018): 1742–56.</w:t>
      </w:r>
    </w:p>
    <w:p w14:paraId="3E8C69B4" w14:textId="77777777" w:rsidR="00FB56C6" w:rsidRDefault="00000000">
      <w:pPr>
        <w:spacing w:after="100" w:line="280" w:lineRule="auto"/>
        <w:ind w:left="720" w:hanging="720"/>
      </w:pPr>
      <w:r>
        <w:rPr>
          <w:sz w:val="22"/>
          <w:szCs w:val="22"/>
        </w:rPr>
        <w:t xml:space="preserve">Davis, Jim, and Michael Graham, with Ryan P. Burge. The Great </w:t>
      </w:r>
      <w:proofErr w:type="spellStart"/>
      <w:r>
        <w:rPr>
          <w:sz w:val="22"/>
          <w:szCs w:val="22"/>
        </w:rPr>
        <w:t>Dechurching</w:t>
      </w:r>
      <w:proofErr w:type="spellEnd"/>
      <w:r>
        <w:rPr>
          <w:sz w:val="22"/>
          <w:szCs w:val="22"/>
        </w:rPr>
        <w:t>: Who’s Leaving, Why Are They Going, and What Will It Take to Bring Them Back? Grand Rapids: Zondervan, 2023.</w:t>
      </w:r>
    </w:p>
    <w:p w14:paraId="2BBFF9EB" w14:textId="77777777" w:rsidR="00FB56C6" w:rsidRDefault="00000000">
      <w:pPr>
        <w:spacing w:after="100" w:line="280" w:lineRule="auto"/>
        <w:ind w:left="720" w:hanging="720"/>
      </w:pPr>
      <w:r>
        <w:rPr>
          <w:sz w:val="22"/>
          <w:szCs w:val="22"/>
        </w:rPr>
        <w:t>Lifeway Research. “Reasons for Attrition among Formerly Churched Adults.” Survey of 469 adults, 2006. https://research.lifeway.com/?p=321.</w:t>
      </w:r>
    </w:p>
    <w:p w14:paraId="7EE36E3B" w14:textId="77777777" w:rsidR="00FB56C6" w:rsidRDefault="00000000">
      <w:pPr>
        <w:spacing w:after="100" w:line="280" w:lineRule="auto"/>
        <w:ind w:left="720" w:hanging="720"/>
      </w:pPr>
      <w:r>
        <w:rPr>
          <w:sz w:val="22"/>
          <w:szCs w:val="22"/>
        </w:rPr>
        <w:t>Livy. History of Rome, Books 1–2. Translated by B. O. Foster. Loeb Classical Library 114. Cambridge, MA: Harvard University Press, 1919.</w:t>
      </w:r>
    </w:p>
    <w:p w14:paraId="7608C0AC" w14:textId="77777777" w:rsidR="00FB56C6" w:rsidRDefault="00000000">
      <w:pPr>
        <w:spacing w:after="100" w:line="280" w:lineRule="auto"/>
        <w:ind w:left="720" w:hanging="720"/>
      </w:pPr>
      <w:proofErr w:type="spellStart"/>
      <w:r>
        <w:rPr>
          <w:sz w:val="22"/>
          <w:szCs w:val="22"/>
        </w:rPr>
        <w:t>Thiselton</w:t>
      </w:r>
      <w:proofErr w:type="spellEnd"/>
      <w:r>
        <w:rPr>
          <w:sz w:val="22"/>
          <w:szCs w:val="22"/>
        </w:rPr>
        <w:t>, Anthony C. The First Epistle to the Corinthians. New International Greek Testament Commentary. Grand Rapids: Eerdmans, 2000.</w:t>
      </w:r>
    </w:p>
    <w:sectPr w:rsidR="00FB56C6">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27213A" w14:textId="77777777" w:rsidR="00761C7D" w:rsidRDefault="00761C7D">
      <w:r>
        <w:separator/>
      </w:r>
    </w:p>
  </w:endnote>
  <w:endnote w:type="continuationSeparator" w:id="0">
    <w:p w14:paraId="6112BF18" w14:textId="77777777" w:rsidR="00761C7D" w:rsidRDefault="00761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8FC83A" w14:textId="77777777" w:rsidR="00FB56C6" w:rsidRDefault="00000000">
    <w:pPr>
      <w:jc w:val="center"/>
    </w:pPr>
    <w:r>
      <w:rPr>
        <w:color w:val="777777"/>
        <w:sz w:val="16"/>
        <w:szCs w:val="16"/>
      </w:rPr>
      <w:t xml:space="preserve">Choosing Christian Community Isn’t Easy · </w:t>
    </w:r>
    <w:r>
      <w:rPr>
        <w:color w:val="777777"/>
        <w:sz w:val="16"/>
        <w:szCs w:val="16"/>
      </w:rPr>
      <w:fldChar w:fldCharType="begin"/>
    </w:r>
    <w:r>
      <w:rPr>
        <w:color w:val="777777"/>
        <w:sz w:val="16"/>
        <w:szCs w:val="16"/>
      </w:rPr>
      <w:instrText>PAGE</w:instrText>
    </w:r>
    <w:r>
      <w:rPr>
        <w:color w:val="777777"/>
        <w:sz w:val="16"/>
        <w:szCs w:val="16"/>
      </w:rPr>
      <w:fldChar w:fldCharType="separate"/>
    </w:r>
    <w:r w:rsidR="00DC1F28">
      <w:rPr>
        <w:noProof/>
        <w:color w:val="777777"/>
        <w:sz w:val="16"/>
        <w:szCs w:val="16"/>
      </w:rPr>
      <w:t>1</w:t>
    </w:r>
    <w:r>
      <w:rPr>
        <w:color w:val="777777"/>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87397F" w14:textId="77777777" w:rsidR="00761C7D" w:rsidRDefault="00761C7D">
      <w:r>
        <w:separator/>
      </w:r>
    </w:p>
  </w:footnote>
  <w:footnote w:type="continuationSeparator" w:id="0">
    <w:p w14:paraId="262697C4" w14:textId="77777777" w:rsidR="00761C7D" w:rsidRDefault="00761C7D">
      <w:r>
        <w:continuationSeparator/>
      </w:r>
    </w:p>
  </w:footnote>
  <w:footnote w:id="1">
    <w:p w14:paraId="142EB96F" w14:textId="77777777" w:rsidR="00FB56C6" w:rsidRDefault="00000000">
      <w:r>
        <w:rPr>
          <w:rStyle w:val="FootnoteReference"/>
        </w:rPr>
        <w:footnoteRef/>
      </w:r>
      <w:r>
        <w:rPr>
          <w:sz w:val="18"/>
          <w:szCs w:val="18"/>
        </w:rPr>
        <w:t>Kenneth E. Bailey, Jesus Through Middle Eastern Eyes: Cultural Studies in the Gospels (Downers Grove, IL: IVP Academic, 2008), 312–16. For the custom of a second summons on the day of the meal, compare Esther 5:8 and 6:14.</w:t>
      </w:r>
    </w:p>
  </w:footnote>
  <w:footnote w:id="2">
    <w:p w14:paraId="5F8C8960" w14:textId="77777777" w:rsidR="00FB56C6" w:rsidRDefault="00000000">
      <w:r>
        <w:rPr>
          <w:rStyle w:val="FootnoteReference"/>
        </w:rPr>
        <w:footnoteRef/>
      </w:r>
      <w:r>
        <w:rPr>
          <w:sz w:val="18"/>
          <w:szCs w:val="18"/>
        </w:rPr>
        <w:t>Bailey argues that a Middle Eastern audience would have heard all three excuses as transparently thin and therefore as public insults to the host. Bailey, Jesus Through Middle Eastern Eyes, 315.</w:t>
      </w:r>
    </w:p>
  </w:footnote>
  <w:footnote w:id="3">
    <w:p w14:paraId="2D7F1A1B" w14:textId="77777777" w:rsidR="00FB56C6" w:rsidRDefault="00000000">
      <w:r>
        <w:rPr>
          <w:rStyle w:val="FootnoteReference"/>
        </w:rPr>
        <w:footnoteRef/>
      </w:r>
      <w:r>
        <w:rPr>
          <w:sz w:val="18"/>
          <w:szCs w:val="18"/>
        </w:rPr>
        <w:t xml:space="preserve">Walter Bauer et al., A </w:t>
      </w:r>
      <w:proofErr w:type="gramStart"/>
      <w:r>
        <w:rPr>
          <w:sz w:val="18"/>
          <w:szCs w:val="18"/>
        </w:rPr>
        <w:t>Greek-English</w:t>
      </w:r>
      <w:proofErr w:type="gramEnd"/>
      <w:r>
        <w:rPr>
          <w:sz w:val="18"/>
          <w:szCs w:val="18"/>
        </w:rPr>
        <w:t xml:space="preserve"> Lexicon of the New Testament and Other Early Christian Literature, 3rd ed. (Chicago: University of Chicago Press, 2000), </w:t>
      </w:r>
      <w:proofErr w:type="spellStart"/>
      <w:r>
        <w:rPr>
          <w:sz w:val="18"/>
          <w:szCs w:val="18"/>
        </w:rPr>
        <w:t>s.v.</w:t>
      </w:r>
      <w:proofErr w:type="spellEnd"/>
      <w:r>
        <w:rPr>
          <w:sz w:val="18"/>
          <w:szCs w:val="18"/>
        </w:rPr>
        <w:t xml:space="preserve"> “παρα</w:t>
      </w:r>
      <w:proofErr w:type="spellStart"/>
      <w:r>
        <w:rPr>
          <w:sz w:val="18"/>
          <w:szCs w:val="18"/>
        </w:rPr>
        <w:t>ιτέομ</w:t>
      </w:r>
      <w:proofErr w:type="spellEnd"/>
      <w:r>
        <w:rPr>
          <w:sz w:val="18"/>
          <w:szCs w:val="18"/>
        </w:rPr>
        <w:t>αι.” The guests’ phrase, “have me excused” (</w:t>
      </w:r>
      <w:proofErr w:type="spellStart"/>
      <w:r>
        <w:rPr>
          <w:sz w:val="18"/>
          <w:szCs w:val="18"/>
        </w:rPr>
        <w:t>ἔχε</w:t>
      </w:r>
      <w:proofErr w:type="spellEnd"/>
      <w:r>
        <w:rPr>
          <w:sz w:val="18"/>
          <w:szCs w:val="18"/>
        </w:rPr>
        <w:t xml:space="preserve"> </w:t>
      </w:r>
      <w:proofErr w:type="spellStart"/>
      <w:r>
        <w:rPr>
          <w:sz w:val="18"/>
          <w:szCs w:val="18"/>
        </w:rPr>
        <w:t>με</w:t>
      </w:r>
      <w:proofErr w:type="spellEnd"/>
      <w:r>
        <w:rPr>
          <w:sz w:val="18"/>
          <w:szCs w:val="18"/>
        </w:rPr>
        <w:t xml:space="preserve"> πα</w:t>
      </w:r>
      <w:proofErr w:type="spellStart"/>
      <w:r>
        <w:rPr>
          <w:sz w:val="18"/>
          <w:szCs w:val="18"/>
        </w:rPr>
        <w:t>ρῃτημένον</w:t>
      </w:r>
      <w:proofErr w:type="spellEnd"/>
      <w:r>
        <w:rPr>
          <w:sz w:val="18"/>
          <w:szCs w:val="18"/>
        </w:rPr>
        <w:t>), is a courteous formula for declining.</w:t>
      </w:r>
    </w:p>
  </w:footnote>
  <w:footnote w:id="4">
    <w:p w14:paraId="00194119" w14:textId="77777777" w:rsidR="00FB56C6" w:rsidRDefault="00000000">
      <w:r>
        <w:rPr>
          <w:rStyle w:val="FootnoteReference"/>
        </w:rPr>
        <w:footnoteRef/>
      </w:r>
      <w:r>
        <w:rPr>
          <w:sz w:val="18"/>
          <w:szCs w:val="18"/>
        </w:rPr>
        <w:t>Lifeway Research, “Reasons for Attrition among Formerly Churched Adults,” survey of 469 formerly churched adults conducted in summer 2006, https://research.lifeway.com/?p=321. Fifty-nine percent cited “changes in life situation”; the top specific reason was “simply got too busy” (19 percent). The study is older and limited to former Protestant attenders, so it shows a pattern rather than current percentages.</w:t>
      </w:r>
    </w:p>
  </w:footnote>
  <w:footnote w:id="5">
    <w:p w14:paraId="63E313E7" w14:textId="77777777" w:rsidR="00FB56C6" w:rsidRDefault="00000000">
      <w:r>
        <w:rPr>
          <w:rStyle w:val="FootnoteReference"/>
        </w:rPr>
        <w:footnoteRef/>
      </w:r>
      <w:r>
        <w:rPr>
          <w:sz w:val="18"/>
          <w:szCs w:val="18"/>
        </w:rPr>
        <w:t xml:space="preserve">Jim Davis and Michael Graham, with Ryan P. Burge, The Great </w:t>
      </w:r>
      <w:proofErr w:type="spellStart"/>
      <w:r>
        <w:rPr>
          <w:sz w:val="18"/>
          <w:szCs w:val="18"/>
        </w:rPr>
        <w:t>Dechurching</w:t>
      </w:r>
      <w:proofErr w:type="spellEnd"/>
      <w:r>
        <w:rPr>
          <w:sz w:val="18"/>
          <w:szCs w:val="18"/>
        </w:rPr>
        <w:t>: Who’s Leaving, Why Are They Going, and What Will It Take to Bring Them Back? (Grand Rapids: Zondervan, 2023). Drawing on surveys of more than 7,000 Americans, the authors found that most people who left did so for ordinary reasons such as moving, inconvenience, or a change in family life.</w:t>
      </w:r>
    </w:p>
  </w:footnote>
  <w:footnote w:id="6">
    <w:p w14:paraId="197F6B20" w14:textId="77777777" w:rsidR="00FB56C6" w:rsidRDefault="00000000">
      <w:r>
        <w:rPr>
          <w:rStyle w:val="FootnoteReference"/>
        </w:rPr>
        <w:footnoteRef/>
      </w:r>
      <w:r>
        <w:rPr>
          <w:sz w:val="18"/>
          <w:szCs w:val="18"/>
        </w:rPr>
        <w:t xml:space="preserve">Bauer et al., </w:t>
      </w:r>
      <w:proofErr w:type="gramStart"/>
      <w:r>
        <w:rPr>
          <w:sz w:val="18"/>
          <w:szCs w:val="18"/>
        </w:rPr>
        <w:t>Greek-English</w:t>
      </w:r>
      <w:proofErr w:type="gramEnd"/>
      <w:r>
        <w:rPr>
          <w:sz w:val="18"/>
          <w:szCs w:val="18"/>
        </w:rPr>
        <w:t xml:space="preserve"> Lexicon, </w:t>
      </w:r>
      <w:proofErr w:type="spellStart"/>
      <w:r>
        <w:rPr>
          <w:sz w:val="18"/>
          <w:szCs w:val="18"/>
        </w:rPr>
        <w:t>s.v.</w:t>
      </w:r>
      <w:proofErr w:type="spellEnd"/>
      <w:r>
        <w:rPr>
          <w:sz w:val="18"/>
          <w:szCs w:val="18"/>
        </w:rPr>
        <w:t xml:space="preserve"> “</w:t>
      </w:r>
      <w:proofErr w:type="spellStart"/>
      <w:r>
        <w:rPr>
          <w:sz w:val="18"/>
          <w:szCs w:val="18"/>
        </w:rPr>
        <w:t>ἐγκ</w:t>
      </w:r>
      <w:proofErr w:type="spellEnd"/>
      <w:r>
        <w:rPr>
          <w:sz w:val="18"/>
          <w:szCs w:val="18"/>
        </w:rPr>
        <w:t>ατα</w:t>
      </w:r>
      <w:proofErr w:type="spellStart"/>
      <w:r>
        <w:rPr>
          <w:sz w:val="18"/>
          <w:szCs w:val="18"/>
        </w:rPr>
        <w:t>λεί</w:t>
      </w:r>
      <w:proofErr w:type="spellEnd"/>
      <w:r>
        <w:rPr>
          <w:sz w:val="18"/>
          <w:szCs w:val="18"/>
        </w:rPr>
        <w:t>πω.” Jesus spoke the words in Aramaic; Matthew 27:46 and Mark 15:34 translate his cry with this verb. Hebrews uses it again in 13:5, quoting Deuteronomy 31:6: “I will never leave you nor forsake you.”</w:t>
      </w:r>
    </w:p>
  </w:footnote>
  <w:footnote w:id="7">
    <w:p w14:paraId="483D6272" w14:textId="77777777" w:rsidR="00FB56C6" w:rsidRDefault="00000000">
      <w:r>
        <w:rPr>
          <w:rStyle w:val="FootnoteReference"/>
        </w:rPr>
        <w:footnoteRef/>
      </w:r>
      <w:r>
        <w:rPr>
          <w:sz w:val="18"/>
          <w:szCs w:val="18"/>
        </w:rPr>
        <w:t>Livy, History of Rome 2.32, trans. B. O. Foster, Loeb Classical Library 114 (Cambridge, MA: Harvard University Press, 1919). Plutarch tells the same story in Life of Coriolanus 6.</w:t>
      </w:r>
    </w:p>
  </w:footnote>
  <w:footnote w:id="8">
    <w:p w14:paraId="75F6959D" w14:textId="77777777" w:rsidR="00FB56C6" w:rsidRDefault="00000000">
      <w:r>
        <w:rPr>
          <w:rStyle w:val="FootnoteReference"/>
        </w:rPr>
        <w:footnoteRef/>
      </w:r>
      <w:r>
        <w:rPr>
          <w:sz w:val="18"/>
          <w:szCs w:val="18"/>
        </w:rPr>
        <w:t xml:space="preserve">On Paul’s reversal of the conventional body metaphor, see Anthony C. </w:t>
      </w:r>
      <w:proofErr w:type="spellStart"/>
      <w:r>
        <w:rPr>
          <w:sz w:val="18"/>
          <w:szCs w:val="18"/>
        </w:rPr>
        <w:t>Thiselton</w:t>
      </w:r>
      <w:proofErr w:type="spellEnd"/>
      <w:r>
        <w:rPr>
          <w:sz w:val="18"/>
          <w:szCs w:val="18"/>
        </w:rPr>
        <w:t>, The First Epistle to the Corinthians, New International Greek Testament Commentary (Grand Rapids: Eerdmans, 2000), comments on 12:14–26.</w:t>
      </w:r>
    </w:p>
  </w:footnote>
  <w:footnote w:id="9">
    <w:p w14:paraId="0FD69EF3" w14:textId="77777777" w:rsidR="00FB56C6" w:rsidRDefault="00000000">
      <w:r>
        <w:rPr>
          <w:rStyle w:val="FootnoteReference"/>
        </w:rPr>
        <w:footnoteRef/>
      </w:r>
      <w:r>
        <w:rPr>
          <w:sz w:val="18"/>
          <w:szCs w:val="18"/>
        </w:rPr>
        <w:t>Erica J. Boothby, Gus Cooney, Gillian M. Sandstrom, and Margaret S. Clark, “The Liking Gap in Conversations: Do People Like Us More Than We Think?” Psychological Science 29, no. 11 (2018): 1742–56, https://doi.org/10.1177/0956797618783714. The effect appeared across five studies, among strangers, college roommates over several months, and adults at a workshop, and it was larger in shy people.</w:t>
      </w:r>
    </w:p>
  </w:footnote>
  <w:footnote w:id="10">
    <w:p w14:paraId="379C8DF2" w14:textId="77777777" w:rsidR="00FB56C6" w:rsidRDefault="00000000">
      <w:r>
        <w:rPr>
          <w:rStyle w:val="FootnoteReference"/>
        </w:rPr>
        <w:footnoteRef/>
      </w:r>
      <w:r>
        <w:rPr>
          <w:sz w:val="18"/>
          <w:szCs w:val="18"/>
        </w:rPr>
        <w:t>Lifeway Research, “Reasons for Attrition.” Thirty-seven percent cited disenchantment with the pastor or church; 17 percent said church members seemed hypocritical or judgmental, and 12 percent said the church was run by a clique that discouraged involvement.</w:t>
      </w:r>
    </w:p>
  </w:footnote>
  <w:footnote w:id="11">
    <w:p w14:paraId="0BFE4333" w14:textId="77777777" w:rsidR="00FB56C6" w:rsidRDefault="00000000">
      <w:r>
        <w:rPr>
          <w:rStyle w:val="FootnoteReference"/>
        </w:rPr>
        <w:footnoteRef/>
      </w:r>
      <w:r>
        <w:rPr>
          <w:sz w:val="18"/>
          <w:szCs w:val="18"/>
        </w:rPr>
        <w:t>Dietrich Bonhoeffer, Life Together, trans. John W. Doberstein (New York: Harper &amp; Row, 1954), 21.</w:t>
      </w:r>
    </w:p>
  </w:footnote>
  <w:footnote w:id="12">
    <w:p w14:paraId="3464BD8A" w14:textId="77777777" w:rsidR="00FB56C6" w:rsidRDefault="00000000">
      <w:r>
        <w:rPr>
          <w:rStyle w:val="FootnoteReference"/>
        </w:rPr>
        <w:footnoteRef/>
      </w:r>
      <w:r>
        <w:rPr>
          <w:sz w:val="18"/>
          <w:szCs w:val="18"/>
        </w:rPr>
        <w:t>Bonhoeffer, Life Together, 30.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3E7CB7"/>
    <w:multiLevelType w:val="hybridMultilevel"/>
    <w:tmpl w:val="75E0920C"/>
    <w:lvl w:ilvl="0" w:tplc="4F001C5A">
      <w:start w:val="1"/>
      <w:numFmt w:val="bullet"/>
      <w:lvlText w:val="●"/>
      <w:lvlJc w:val="left"/>
      <w:pPr>
        <w:ind w:left="720" w:hanging="360"/>
      </w:pPr>
    </w:lvl>
    <w:lvl w:ilvl="1" w:tplc="2E08361C">
      <w:start w:val="1"/>
      <w:numFmt w:val="bullet"/>
      <w:lvlText w:val="○"/>
      <w:lvlJc w:val="left"/>
      <w:pPr>
        <w:ind w:left="1440" w:hanging="360"/>
      </w:pPr>
    </w:lvl>
    <w:lvl w:ilvl="2" w:tplc="39F49CE4">
      <w:start w:val="1"/>
      <w:numFmt w:val="bullet"/>
      <w:lvlText w:val="■"/>
      <w:lvlJc w:val="left"/>
      <w:pPr>
        <w:ind w:left="2160" w:hanging="360"/>
      </w:pPr>
    </w:lvl>
    <w:lvl w:ilvl="3" w:tplc="490223B2">
      <w:start w:val="1"/>
      <w:numFmt w:val="bullet"/>
      <w:lvlText w:val="●"/>
      <w:lvlJc w:val="left"/>
      <w:pPr>
        <w:ind w:left="2880" w:hanging="360"/>
      </w:pPr>
    </w:lvl>
    <w:lvl w:ilvl="4" w:tplc="A9A47238">
      <w:start w:val="1"/>
      <w:numFmt w:val="bullet"/>
      <w:lvlText w:val="○"/>
      <w:lvlJc w:val="left"/>
      <w:pPr>
        <w:ind w:left="3600" w:hanging="360"/>
      </w:pPr>
    </w:lvl>
    <w:lvl w:ilvl="5" w:tplc="3DAC79A8">
      <w:start w:val="1"/>
      <w:numFmt w:val="bullet"/>
      <w:lvlText w:val="■"/>
      <w:lvlJc w:val="left"/>
      <w:pPr>
        <w:ind w:left="4320" w:hanging="360"/>
      </w:pPr>
    </w:lvl>
    <w:lvl w:ilvl="6" w:tplc="C5E6AE80">
      <w:start w:val="1"/>
      <w:numFmt w:val="bullet"/>
      <w:lvlText w:val="●"/>
      <w:lvlJc w:val="left"/>
      <w:pPr>
        <w:ind w:left="5040" w:hanging="360"/>
      </w:pPr>
    </w:lvl>
    <w:lvl w:ilvl="7" w:tplc="F98AD622">
      <w:start w:val="1"/>
      <w:numFmt w:val="bullet"/>
      <w:lvlText w:val="●"/>
      <w:lvlJc w:val="left"/>
      <w:pPr>
        <w:ind w:left="5760" w:hanging="360"/>
      </w:pPr>
    </w:lvl>
    <w:lvl w:ilvl="8" w:tplc="89BC5230">
      <w:start w:val="1"/>
      <w:numFmt w:val="bullet"/>
      <w:lvlText w:val="●"/>
      <w:lvlJc w:val="left"/>
      <w:pPr>
        <w:ind w:left="6480" w:hanging="360"/>
      </w:pPr>
    </w:lvl>
  </w:abstractNum>
  <w:abstractNum w:abstractNumId="1" w15:restartNumberingAfterBreak="0">
    <w:nsid w:val="463527A7"/>
    <w:multiLevelType w:val="hybridMultilevel"/>
    <w:tmpl w:val="DB12023E"/>
    <w:lvl w:ilvl="0" w:tplc="76B69D9C">
      <w:start w:val="1"/>
      <w:numFmt w:val="decimal"/>
      <w:lvlText w:val="%1."/>
      <w:lvlJc w:val="left"/>
      <w:pPr>
        <w:ind w:left="720" w:hanging="360"/>
      </w:pPr>
    </w:lvl>
    <w:lvl w:ilvl="1" w:tplc="104ECEA4">
      <w:numFmt w:val="decimal"/>
      <w:lvlText w:val=""/>
      <w:lvlJc w:val="left"/>
    </w:lvl>
    <w:lvl w:ilvl="2" w:tplc="0F70A8A8">
      <w:numFmt w:val="decimal"/>
      <w:lvlText w:val=""/>
      <w:lvlJc w:val="left"/>
    </w:lvl>
    <w:lvl w:ilvl="3" w:tplc="D5CEC656">
      <w:numFmt w:val="decimal"/>
      <w:lvlText w:val=""/>
      <w:lvlJc w:val="left"/>
    </w:lvl>
    <w:lvl w:ilvl="4" w:tplc="6292DEA4">
      <w:numFmt w:val="decimal"/>
      <w:lvlText w:val=""/>
      <w:lvlJc w:val="left"/>
    </w:lvl>
    <w:lvl w:ilvl="5" w:tplc="B41ADF94">
      <w:numFmt w:val="decimal"/>
      <w:lvlText w:val=""/>
      <w:lvlJc w:val="left"/>
    </w:lvl>
    <w:lvl w:ilvl="6" w:tplc="E8303744">
      <w:numFmt w:val="decimal"/>
      <w:lvlText w:val=""/>
      <w:lvlJc w:val="left"/>
    </w:lvl>
    <w:lvl w:ilvl="7" w:tplc="9DF432F6">
      <w:numFmt w:val="decimal"/>
      <w:lvlText w:val=""/>
      <w:lvlJc w:val="left"/>
    </w:lvl>
    <w:lvl w:ilvl="8" w:tplc="98FA47CA">
      <w:numFmt w:val="decimal"/>
      <w:lvlText w:val=""/>
      <w:lvlJc w:val="left"/>
    </w:lvl>
  </w:abstractNum>
  <w:num w:numId="1" w16cid:durableId="585698527">
    <w:abstractNumId w:val="0"/>
    <w:lvlOverride w:ilvl="0">
      <w:startOverride w:val="1"/>
    </w:lvlOverride>
  </w:num>
  <w:num w:numId="2" w16cid:durableId="583488266">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6C6"/>
    <w:rsid w:val="00350015"/>
    <w:rsid w:val="00465C02"/>
    <w:rsid w:val="00554627"/>
    <w:rsid w:val="00615B2B"/>
    <w:rsid w:val="00761C7D"/>
    <w:rsid w:val="00866DF6"/>
    <w:rsid w:val="008F07D1"/>
    <w:rsid w:val="009607ED"/>
    <w:rsid w:val="00967063"/>
    <w:rsid w:val="00DC1F28"/>
    <w:rsid w:val="00FA7281"/>
    <w:rsid w:val="00FB5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73CB19"/>
  <w15:docId w15:val="{D6959264-4A42-E74A-AFD0-68C123C41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eorgia" w:eastAsia="Georgia" w:hAnsi="Georgia" w:cs="Georg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7</Pages>
  <Words>1793</Words>
  <Characters>10224</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Choosing Christian Community Isn’t Easy</vt:lpstr>
    </vt:vector>
  </TitlesOfParts>
  <Company/>
  <LinksUpToDate>false</LinksUpToDate>
  <CharactersWithSpaces>11994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Choosing Christian Community Isn’t Easy</dc:title>
  <dc:creator>Mike Colaw</dc:creator>
  <cp:lastModifiedBy>Mike Colaw</cp:lastModifiedBy>
  <cp:revision>8</cp:revision>
  <dcterms:created xsi:type="dcterms:W3CDTF">2026-10-14T21:04:00Z</dcterms:created>
  <dcterms:modified xsi:type="dcterms:W3CDTF">2026-10-15T18:08:00Z</dcterms:modified>
</cp:coreProperties>
</file>