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7820D4" w14:textId="48553F95" w:rsidR="005561FB" w:rsidRDefault="00F83C51">
      <w:pPr>
        <w:spacing w:after="60"/>
        <w:jc w:val="center"/>
      </w:pPr>
      <w:r>
        <w:rPr>
          <w:b/>
          <w:bCs/>
          <w:color w:val="C9893A"/>
          <w:spacing w:val="60"/>
          <w:sz w:val="22"/>
          <w:szCs w:val="22"/>
        </w:rPr>
        <w:t>SPIRITUAL FRIENDSHI</w:t>
      </w:r>
      <w:r w:rsidR="00892784">
        <w:rPr>
          <w:b/>
          <w:bCs/>
          <w:color w:val="C9893A"/>
          <w:spacing w:val="60"/>
          <w:sz w:val="22"/>
          <w:szCs w:val="22"/>
        </w:rPr>
        <w:t>P:</w:t>
      </w:r>
      <w:r>
        <w:rPr>
          <w:b/>
          <w:bCs/>
          <w:color w:val="C9893A"/>
          <w:spacing w:val="60"/>
          <w:sz w:val="22"/>
          <w:szCs w:val="22"/>
        </w:rPr>
        <w:t>WEEK 1</w:t>
      </w:r>
    </w:p>
    <w:p w14:paraId="2A903D5C" w14:textId="77777777" w:rsidR="005561FB" w:rsidRDefault="00F83C51">
      <w:pPr>
        <w:spacing w:after="60"/>
        <w:jc w:val="center"/>
      </w:pPr>
      <w:r w:rsidRPr="009755E6">
        <w:rPr>
          <w:b/>
          <w:bCs/>
          <w:sz w:val="40"/>
          <w:szCs w:val="40"/>
          <w:highlight w:val="cyan"/>
        </w:rPr>
        <w:t>God Doesn’t Want You Alone</w:t>
      </w:r>
    </w:p>
    <w:p w14:paraId="7A8EABD0" w14:textId="77777777" w:rsidR="005561FB" w:rsidRDefault="00F83C51">
      <w:pPr>
        <w:spacing w:after="240"/>
        <w:jc w:val="center"/>
      </w:pPr>
      <w:r>
        <w:rPr>
          <w:color w:val="555555"/>
          <w:sz w:val="20"/>
          <w:szCs w:val="20"/>
        </w:rPr>
        <w:t>October 11, 2026  ·  Genesis 2:18</w:t>
      </w:r>
    </w:p>
    <w:p w14:paraId="4E625002" w14:textId="77777777" w:rsidR="005561FB" w:rsidRDefault="00F83C51">
      <w:pPr>
        <w:pBdr>
          <w:left w:val="single" w:sz="18" w:space="8" w:color="C9893A"/>
        </w:pBdr>
        <w:shd w:val="clear" w:color="auto" w:fill="FBF3E6"/>
        <w:spacing w:before="120" w:after="200" w:line="290" w:lineRule="auto"/>
        <w:ind w:left="200"/>
      </w:pPr>
      <w:r>
        <w:rPr>
          <w:b/>
          <w:bCs/>
          <w:color w:val="7A4E1D"/>
          <w:sz w:val="21"/>
          <w:szCs w:val="21"/>
        </w:rPr>
        <w:t>Production notes:</w:t>
      </w:r>
      <w:r>
        <w:rPr>
          <w:color w:val="7A4E1D"/>
          <w:sz w:val="21"/>
          <w:szCs w:val="21"/>
        </w:rPr>
        <w:t xml:space="preserve"> </w:t>
      </w:r>
      <w:r w:rsidRPr="009755E6">
        <w:rPr>
          <w:color w:val="7A4E1D"/>
          <w:sz w:val="21"/>
          <w:szCs w:val="21"/>
          <w:highlight w:val="yellow"/>
        </w:rPr>
        <w:t>Yellow</w:t>
      </w:r>
      <w:r>
        <w:rPr>
          <w:color w:val="7A4E1D"/>
          <w:sz w:val="21"/>
          <w:szCs w:val="21"/>
        </w:rPr>
        <w:t xml:space="preserve"> on the screen and in the notes. </w:t>
      </w:r>
      <w:r w:rsidRPr="009755E6">
        <w:rPr>
          <w:color w:val="7A4E1D"/>
          <w:sz w:val="21"/>
          <w:szCs w:val="21"/>
          <w:highlight w:val="cyan"/>
        </w:rPr>
        <w:t>Green</w:t>
      </w:r>
      <w:r>
        <w:rPr>
          <w:color w:val="7A4E1D"/>
          <w:sz w:val="21"/>
          <w:szCs w:val="21"/>
        </w:rPr>
        <w:t xml:space="preserve"> on the screen only.</w:t>
      </w:r>
    </w:p>
    <w:p w14:paraId="2CA449E6" w14:textId="77777777" w:rsidR="005561FB" w:rsidRDefault="00F83C51">
      <w:pPr>
        <w:pStyle w:val="Heading1"/>
        <w:spacing w:before="360" w:after="160"/>
      </w:pPr>
      <w:r>
        <w:t>Introduction</w:t>
      </w:r>
    </w:p>
    <w:p w14:paraId="35B3C8FC" w14:textId="77777777" w:rsidR="005561FB" w:rsidRDefault="00F83C51">
      <w:pPr>
        <w:spacing w:after="180" w:line="320" w:lineRule="auto"/>
      </w:pPr>
      <w:r>
        <w:t>Today we begin a new series on the priority of spiritual friendship. Let me start with one idea, and everything else this morning will build on it:</w:t>
      </w:r>
    </w:p>
    <w:p w14:paraId="186F68C0" w14:textId="579DF0D8" w:rsidR="005561FB" w:rsidRDefault="009755E6" w:rsidP="009755E6">
      <w:pPr>
        <w:spacing w:before="120" w:after="220" w:line="320" w:lineRule="auto"/>
      </w:pPr>
      <w:r>
        <w:rPr>
          <w:b/>
          <w:bCs/>
          <w:sz w:val="26"/>
          <w:szCs w:val="26"/>
          <w:highlight w:val="yellow"/>
        </w:rPr>
        <w:t>Loneliness, in its purest form, isn’t a sin. It’s a signal</w:t>
      </w:r>
      <w:r w:rsidRPr="009755E6">
        <w:rPr>
          <w:b/>
          <w:bCs/>
          <w:sz w:val="26"/>
          <w:szCs w:val="26"/>
          <w:highlight w:val="yellow"/>
        </w:rPr>
        <w:t>.</w:t>
      </w:r>
      <w:r>
        <w:rPr>
          <w:b/>
          <w:bCs/>
          <w:sz w:val="26"/>
          <w:szCs w:val="26"/>
          <w:highlight w:val="yellow"/>
        </w:rPr>
        <w:t xml:space="preserve"> </w:t>
      </w:r>
      <w:r w:rsidR="00F83C51" w:rsidRPr="009755E6">
        <w:rPr>
          <w:b/>
          <w:bCs/>
          <w:sz w:val="26"/>
          <w:szCs w:val="26"/>
          <w:highlight w:val="yellow"/>
        </w:rPr>
        <w:t>You are theologically, philosophically, and biologically designed to need others</w:t>
      </w:r>
      <w:r>
        <w:rPr>
          <w:b/>
          <w:bCs/>
          <w:sz w:val="26"/>
          <w:szCs w:val="26"/>
          <w:highlight w:val="yellow"/>
        </w:rPr>
        <w:t xml:space="preserve">. </w:t>
      </w:r>
    </w:p>
    <w:p w14:paraId="05123F48" w14:textId="77777777" w:rsidR="005561FB" w:rsidRDefault="00F83C51">
      <w:pPr>
        <w:spacing w:after="180" w:line="320" w:lineRule="auto"/>
      </w:pPr>
      <w:r>
        <w:t>Think about hunger. Hunger isn't something you just “get over.” It's a signal that your body needs something to be complete. Loneliness works the same way. It isn't something to get over. It's a signal that something in you, by God's design, still needs to be completed.</w:t>
      </w:r>
    </w:p>
    <w:p w14:paraId="2812631B" w14:textId="77777777" w:rsidR="005561FB" w:rsidRDefault="00F83C51">
      <w:pPr>
        <w:pStyle w:val="Heading1"/>
        <w:spacing w:before="360" w:after="160"/>
      </w:pPr>
      <w:r>
        <w:t>Our Anchor Texts</w:t>
      </w:r>
    </w:p>
    <w:p w14:paraId="6470D441" w14:textId="77777777" w:rsidR="005561FB" w:rsidRDefault="00F83C51">
      <w:pPr>
        <w:spacing w:after="180" w:line="320" w:lineRule="auto"/>
      </w:pPr>
      <w:r>
        <w:t>Let me begin by reading the anchor texts for this whole series.</w:t>
      </w:r>
      <w:r>
        <w:rPr>
          <w:rStyle w:val="FootnoteReference"/>
        </w:rPr>
        <w:footnoteReference w:id="1"/>
      </w:r>
    </w:p>
    <w:p w14:paraId="578BAC76" w14:textId="77777777" w:rsidR="005561FB" w:rsidRPr="009755E6" w:rsidRDefault="00F83C51" w:rsidP="009755E6">
      <w:pPr>
        <w:spacing w:after="60"/>
        <w:rPr>
          <w:highlight w:val="cyan"/>
        </w:rPr>
      </w:pPr>
      <w:r w:rsidRPr="009755E6">
        <w:rPr>
          <w:b/>
          <w:bCs/>
          <w:color w:val="7A4E1D"/>
          <w:sz w:val="20"/>
          <w:szCs w:val="20"/>
          <w:highlight w:val="cyan"/>
        </w:rPr>
        <w:t>Genesis 2:18</w:t>
      </w:r>
    </w:p>
    <w:p w14:paraId="24640575" w14:textId="77777777" w:rsidR="005561FB" w:rsidRPr="009755E6" w:rsidRDefault="00F83C51" w:rsidP="009755E6">
      <w:pPr>
        <w:spacing w:after="180" w:line="320" w:lineRule="auto"/>
        <w:ind w:right="540"/>
        <w:rPr>
          <w:highlight w:val="cyan"/>
        </w:rPr>
      </w:pPr>
      <w:r w:rsidRPr="009755E6">
        <w:rPr>
          <w:i/>
          <w:iCs/>
          <w:highlight w:val="cyan"/>
        </w:rPr>
        <w:t>Then the LORD God said, “It is not good that the man should be alone; I will make him a helper fit for him.”</w:t>
      </w:r>
    </w:p>
    <w:p w14:paraId="2C322422" w14:textId="77777777" w:rsidR="005561FB" w:rsidRPr="009755E6" w:rsidRDefault="00F83C51" w:rsidP="009755E6">
      <w:pPr>
        <w:spacing w:after="60"/>
        <w:rPr>
          <w:highlight w:val="cyan"/>
        </w:rPr>
      </w:pPr>
      <w:r w:rsidRPr="009755E6">
        <w:rPr>
          <w:b/>
          <w:bCs/>
          <w:color w:val="7A4E1D"/>
          <w:sz w:val="20"/>
          <w:szCs w:val="20"/>
          <w:highlight w:val="cyan"/>
        </w:rPr>
        <w:t>Ecclesiastes 4:9–12</w:t>
      </w:r>
    </w:p>
    <w:p w14:paraId="1AA102E5" w14:textId="77777777" w:rsidR="005561FB" w:rsidRPr="009755E6" w:rsidRDefault="00F83C51" w:rsidP="009755E6">
      <w:pPr>
        <w:spacing w:after="180" w:line="320" w:lineRule="auto"/>
        <w:ind w:right="540"/>
        <w:rPr>
          <w:highlight w:val="cyan"/>
        </w:rPr>
      </w:pPr>
      <w:r w:rsidRPr="009755E6">
        <w:rPr>
          <w:i/>
          <w:iCs/>
          <w:highlight w:val="cyan"/>
        </w:rPr>
        <w:t>Two are better than one, because they have a good reward for their toil. For if they fall, one will lift up his fellow. But woe to him who is alone when he falls and has not another to lift him up! Again, if two lie together, they keep warm, but how can one keep warm alone? And though a man might prevail against one who is alone, two will withstand him—a threefold cord is not quickly broken.</w:t>
      </w:r>
    </w:p>
    <w:p w14:paraId="2DF8DD2A" w14:textId="77777777" w:rsidR="005561FB" w:rsidRPr="009755E6" w:rsidRDefault="00F83C51" w:rsidP="009755E6">
      <w:pPr>
        <w:spacing w:after="60"/>
        <w:rPr>
          <w:highlight w:val="cyan"/>
        </w:rPr>
      </w:pPr>
      <w:r w:rsidRPr="009755E6">
        <w:rPr>
          <w:b/>
          <w:bCs/>
          <w:color w:val="7A4E1D"/>
          <w:sz w:val="20"/>
          <w:szCs w:val="20"/>
          <w:highlight w:val="cyan"/>
        </w:rPr>
        <w:t>Romans 12:4–5</w:t>
      </w:r>
    </w:p>
    <w:p w14:paraId="3F496328" w14:textId="77777777" w:rsidR="005561FB" w:rsidRPr="009755E6" w:rsidRDefault="00F83C51" w:rsidP="009755E6">
      <w:pPr>
        <w:spacing w:after="180" w:line="320" w:lineRule="auto"/>
        <w:ind w:right="540"/>
        <w:rPr>
          <w:highlight w:val="cyan"/>
        </w:rPr>
      </w:pPr>
      <w:r w:rsidRPr="009755E6">
        <w:rPr>
          <w:i/>
          <w:iCs/>
          <w:highlight w:val="cyan"/>
        </w:rPr>
        <w:lastRenderedPageBreak/>
        <w:t>For as in one body we have many members, and the members do not all have the same function, so we, though many, are one body in Christ, and individually members one of another.</w:t>
      </w:r>
    </w:p>
    <w:p w14:paraId="7D6DD9A2" w14:textId="77777777" w:rsidR="005561FB" w:rsidRPr="009755E6" w:rsidRDefault="00F83C51" w:rsidP="009755E6">
      <w:pPr>
        <w:spacing w:after="60"/>
        <w:rPr>
          <w:highlight w:val="cyan"/>
        </w:rPr>
      </w:pPr>
      <w:r w:rsidRPr="009755E6">
        <w:rPr>
          <w:b/>
          <w:bCs/>
          <w:color w:val="7A4E1D"/>
          <w:sz w:val="20"/>
          <w:szCs w:val="20"/>
          <w:highlight w:val="cyan"/>
        </w:rPr>
        <w:t>Hebrews 10:24–25</w:t>
      </w:r>
    </w:p>
    <w:p w14:paraId="7A430F76" w14:textId="77777777" w:rsidR="005561FB" w:rsidRDefault="00F83C51" w:rsidP="009755E6">
      <w:pPr>
        <w:spacing w:after="180" w:line="320" w:lineRule="auto"/>
        <w:ind w:right="540"/>
      </w:pPr>
      <w:r w:rsidRPr="009755E6">
        <w:rPr>
          <w:i/>
          <w:iCs/>
          <w:highlight w:val="cyan"/>
        </w:rPr>
        <w:t>And let us consider how to stir up one another to love and good works, not neglecting to meet together, as is the habit of some, but encouraging one another, and all the more as you see the Day drawing near.</w:t>
      </w:r>
    </w:p>
    <w:p w14:paraId="79B52C8E" w14:textId="77777777" w:rsidR="005561FB" w:rsidRDefault="00F83C51">
      <w:pPr>
        <w:pStyle w:val="Heading1"/>
        <w:spacing w:before="360" w:after="160"/>
      </w:pPr>
      <w:r>
        <w:t>Visual Illustration: The Torn Poster</w:t>
      </w:r>
    </w:p>
    <w:p w14:paraId="367B4C2E" w14:textId="77777777" w:rsidR="005561FB" w:rsidRDefault="00F83C51">
      <w:pPr>
        <w:pBdr>
          <w:left w:val="single" w:sz="18" w:space="8" w:color="C9893A"/>
        </w:pBdr>
        <w:shd w:val="clear" w:color="auto" w:fill="FBF3E6"/>
        <w:spacing w:before="120" w:after="200" w:line="290" w:lineRule="auto"/>
        <w:ind w:left="200"/>
      </w:pPr>
      <w:r>
        <w:rPr>
          <w:b/>
          <w:bCs/>
          <w:color w:val="7A4E1D"/>
          <w:sz w:val="21"/>
          <w:szCs w:val="21"/>
        </w:rPr>
        <w:t>Stage note:</w:t>
      </w:r>
      <w:r>
        <w:rPr>
          <w:color w:val="7A4E1D"/>
          <w:sz w:val="21"/>
          <w:szCs w:val="21"/>
        </w:rPr>
        <w:t xml:space="preserve"> Hold up a poster board with the word LOVE written large across it.</w:t>
      </w:r>
    </w:p>
    <w:p w14:paraId="33265FA5" w14:textId="77777777" w:rsidR="005561FB" w:rsidRDefault="00F83C51">
      <w:pPr>
        <w:spacing w:after="180" w:line="320" w:lineRule="auto"/>
      </w:pPr>
      <w:r>
        <w:t>God had a brilliant idea. He created love. And then He took that vision and did something surprising with it.</w:t>
      </w:r>
    </w:p>
    <w:p w14:paraId="62301C19" w14:textId="77777777" w:rsidR="005561FB" w:rsidRDefault="00F83C51">
      <w:pPr>
        <w:pBdr>
          <w:left w:val="single" w:sz="18" w:space="8" w:color="C9893A"/>
        </w:pBdr>
        <w:shd w:val="clear" w:color="auto" w:fill="FBF3E6"/>
        <w:spacing w:before="120" w:after="200" w:line="290" w:lineRule="auto"/>
        <w:ind w:left="200"/>
      </w:pPr>
      <w:r>
        <w:rPr>
          <w:b/>
          <w:bCs/>
          <w:color w:val="7A4E1D"/>
          <w:sz w:val="21"/>
          <w:szCs w:val="21"/>
        </w:rPr>
        <w:t>Stage note:</w:t>
      </w:r>
      <w:r>
        <w:rPr>
          <w:color w:val="7A4E1D"/>
          <w:sz w:val="21"/>
          <w:szCs w:val="21"/>
        </w:rPr>
        <w:t xml:space="preserve"> Tear the poster into several pieces. Hand a piece or two to people in the front rows.</w:t>
      </w:r>
    </w:p>
    <w:p w14:paraId="6AB2DF25" w14:textId="77777777" w:rsidR="005561FB" w:rsidRDefault="00F83C51">
      <w:pPr>
        <w:spacing w:after="180" w:line="320" w:lineRule="auto"/>
      </w:pPr>
      <w:r>
        <w:t>He divided it up. He gave a piece to you, and a piece to you, and a piece to you. None of us holds the whole picture. That isn't an accident, and it isn't a mistake. It is God's intentional design. You need others to fulfill the vision God has for your life, and they need you to fulfill His vision for theirs.</w:t>
      </w:r>
    </w:p>
    <w:p w14:paraId="6B277624" w14:textId="77777777" w:rsidR="005561FB" w:rsidRDefault="00F83C51">
      <w:pPr>
        <w:pBdr>
          <w:left w:val="single" w:sz="18" w:space="8" w:color="C9893A"/>
        </w:pBdr>
        <w:shd w:val="clear" w:color="auto" w:fill="FBF3E6"/>
        <w:spacing w:before="120" w:after="200" w:line="290" w:lineRule="auto"/>
        <w:ind w:left="200"/>
      </w:pPr>
      <w:r>
        <w:rPr>
          <w:b/>
          <w:bCs/>
          <w:color w:val="7A4E1D"/>
          <w:sz w:val="21"/>
          <w:szCs w:val="21"/>
        </w:rPr>
        <w:t>Optional callback for the close:</w:t>
      </w:r>
      <w:r>
        <w:rPr>
          <w:color w:val="7A4E1D"/>
          <w:sz w:val="21"/>
          <w:szCs w:val="21"/>
        </w:rPr>
        <w:t xml:space="preserve"> Have the people holding the pieces bring them forward and lay them back together on the stage.</w:t>
      </w:r>
    </w:p>
    <w:p w14:paraId="63EC2BE7" w14:textId="77777777" w:rsidR="005561FB" w:rsidRDefault="00F83C51">
      <w:pPr>
        <w:pStyle w:val="Heading1"/>
        <w:spacing w:before="360" w:after="160"/>
      </w:pPr>
      <w:r>
        <w:t>Our Text for Today</w:t>
      </w:r>
    </w:p>
    <w:p w14:paraId="765D1B40" w14:textId="77777777" w:rsidR="005561FB" w:rsidRPr="009755E6" w:rsidRDefault="00F83C51" w:rsidP="009755E6">
      <w:pPr>
        <w:spacing w:after="60"/>
        <w:rPr>
          <w:highlight w:val="yellow"/>
        </w:rPr>
      </w:pPr>
      <w:r w:rsidRPr="009755E6">
        <w:rPr>
          <w:b/>
          <w:bCs/>
          <w:color w:val="7A4E1D"/>
          <w:sz w:val="20"/>
          <w:szCs w:val="20"/>
          <w:highlight w:val="yellow"/>
        </w:rPr>
        <w:t>Genesis 2:18</w:t>
      </w:r>
    </w:p>
    <w:p w14:paraId="6CEB5A63" w14:textId="77777777" w:rsidR="005561FB" w:rsidRDefault="00F83C51" w:rsidP="009755E6">
      <w:pPr>
        <w:spacing w:after="180" w:line="320" w:lineRule="auto"/>
        <w:ind w:right="540"/>
      </w:pPr>
      <w:r w:rsidRPr="009755E6">
        <w:rPr>
          <w:i/>
          <w:iCs/>
          <w:highlight w:val="yellow"/>
        </w:rPr>
        <w:t>Then the LORD God said, “It is not good that the man should be alone; I will make him a helper fit for him.”</w:t>
      </w:r>
    </w:p>
    <w:p w14:paraId="1BF776A3" w14:textId="77777777" w:rsidR="005561FB" w:rsidRDefault="00F83C51">
      <w:pPr>
        <w:pStyle w:val="Heading1"/>
        <w:spacing w:before="360" w:after="160"/>
      </w:pPr>
      <w:r>
        <w:t>The First “Not Good”</w:t>
      </w:r>
    </w:p>
    <w:p w14:paraId="7F8F09A0" w14:textId="77777777" w:rsidR="005561FB" w:rsidRDefault="00F83C51">
      <w:pPr>
        <w:spacing w:after="180" w:line="320" w:lineRule="auto"/>
      </w:pPr>
      <w:r>
        <w:t>Let's start our journey in the first text.</w:t>
      </w:r>
    </w:p>
    <w:p w14:paraId="2D714B18" w14:textId="77777777" w:rsidR="005561FB" w:rsidRDefault="00F83C51">
      <w:pPr>
        <w:spacing w:after="180" w:line="320" w:lineRule="auto"/>
      </w:pPr>
      <w:r w:rsidRPr="009755E6">
        <w:rPr>
          <w:highlight w:val="yellow"/>
        </w:rPr>
        <w:t xml:space="preserve">Genesis 1 has a poetic rhythm to it. Over and over: </w:t>
      </w:r>
      <w:r w:rsidRPr="009755E6">
        <w:rPr>
          <w:i/>
          <w:iCs/>
          <w:highlight w:val="yellow"/>
        </w:rPr>
        <w:t>and God saw that it was good.</w:t>
      </w:r>
      <w:r w:rsidRPr="009755E6">
        <w:rPr>
          <w:highlight w:val="yellow"/>
        </w:rPr>
        <w:t xml:space="preserve"> In Hebrew that word is </w:t>
      </w:r>
      <w:r w:rsidRPr="009755E6">
        <w:rPr>
          <w:i/>
          <w:iCs/>
          <w:highlight w:val="yellow"/>
        </w:rPr>
        <w:t>tôv</w:t>
      </w:r>
      <w:r w:rsidRPr="009755E6">
        <w:rPr>
          <w:highlight w:val="yellow"/>
        </w:rPr>
        <w:t xml:space="preserve">. Six times God looks at what He has made and calls it </w:t>
      </w:r>
      <w:r w:rsidRPr="009755E6">
        <w:rPr>
          <w:i/>
          <w:iCs/>
          <w:highlight w:val="yellow"/>
        </w:rPr>
        <w:t>tôv</w:t>
      </w:r>
      <w:r w:rsidRPr="009755E6">
        <w:rPr>
          <w:highlight w:val="yellow"/>
        </w:rPr>
        <w:t xml:space="preserve">. Then, at the end of the sixth day, </w:t>
      </w:r>
      <w:r w:rsidRPr="009755E6">
        <w:rPr>
          <w:i/>
          <w:iCs/>
          <w:highlight w:val="yellow"/>
        </w:rPr>
        <w:t>very</w:t>
      </w:r>
      <w:r w:rsidRPr="009755E6">
        <w:rPr>
          <w:highlight w:val="yellow"/>
        </w:rPr>
        <w:t xml:space="preserve"> good (1:31). Then Genesis 2:18 hits us with something new: </w:t>
      </w:r>
      <w:r w:rsidRPr="009755E6">
        <w:rPr>
          <w:i/>
          <w:iCs/>
          <w:highlight w:val="yellow"/>
        </w:rPr>
        <w:t>lōʼ-tôv</w:t>
      </w:r>
      <w:r w:rsidRPr="009755E6">
        <w:rPr>
          <w:highlight w:val="yellow"/>
        </w:rPr>
        <w:t xml:space="preserve">. </w:t>
      </w:r>
      <w:r w:rsidRPr="009755E6">
        <w:rPr>
          <w:b/>
          <w:bCs/>
          <w:highlight w:val="yellow"/>
        </w:rPr>
        <w:t>Not good.</w:t>
      </w:r>
    </w:p>
    <w:p w14:paraId="6E5A96E1" w14:textId="77777777" w:rsidR="005561FB" w:rsidRDefault="00F83C51">
      <w:pPr>
        <w:spacing w:after="180" w:line="320" w:lineRule="auto"/>
      </w:pPr>
      <w:r>
        <w:lastRenderedPageBreak/>
        <w:t>It is the first thing in the whole Bible that God calls not good.</w:t>
      </w:r>
      <w:r>
        <w:rPr>
          <w:rStyle w:val="FootnoteReference"/>
        </w:rPr>
        <w:footnoteReference w:id="2"/>
      </w:r>
    </w:p>
    <w:p w14:paraId="245B3AAA" w14:textId="77777777" w:rsidR="005561FB" w:rsidRDefault="00F83C51">
      <w:pPr>
        <w:spacing w:after="180" w:line="320" w:lineRule="auto"/>
      </w:pPr>
      <w:r>
        <w:t xml:space="preserve">Now, notice what that does </w:t>
      </w:r>
      <w:r>
        <w:rPr>
          <w:i/>
          <w:iCs/>
        </w:rPr>
        <w:t>not</w:t>
      </w:r>
      <w:r>
        <w:t xml:space="preserve"> mean.</w:t>
      </w:r>
    </w:p>
    <w:p w14:paraId="5AE64813" w14:textId="77777777" w:rsidR="005561FB" w:rsidRDefault="00F83C51">
      <w:pPr>
        <w:spacing w:after="180" w:line="320" w:lineRule="auto"/>
      </w:pPr>
      <w:r>
        <w:t>Nothing in Eden is broken.</w:t>
      </w:r>
    </w:p>
    <w:p w14:paraId="4F67E335" w14:textId="77777777" w:rsidR="005561FB" w:rsidRDefault="00F83C51">
      <w:pPr>
        <w:spacing w:after="180" w:line="320" w:lineRule="auto"/>
      </w:pPr>
      <w:r w:rsidRPr="009755E6">
        <w:rPr>
          <w:highlight w:val="yellow"/>
        </w:rPr>
        <w:t xml:space="preserve">Nothing is evil. </w:t>
      </w:r>
      <w:r w:rsidRPr="009755E6">
        <w:rPr>
          <w:i/>
          <w:iCs/>
          <w:highlight w:val="yellow"/>
        </w:rPr>
        <w:t>Tôv</w:t>
      </w:r>
      <w:r w:rsidRPr="009755E6">
        <w:rPr>
          <w:highlight w:val="yellow"/>
        </w:rPr>
        <w:t xml:space="preserve"> means good in the sense of beneficial, working as it was meant to.</w:t>
      </w:r>
      <w:r w:rsidRPr="009755E6">
        <w:rPr>
          <w:rStyle w:val="FootnoteReference"/>
          <w:highlight w:val="yellow"/>
        </w:rPr>
        <w:footnoteReference w:id="3"/>
      </w:r>
      <w:r w:rsidRPr="009755E6">
        <w:rPr>
          <w:highlight w:val="yellow"/>
        </w:rPr>
        <w:t xml:space="preserve"> Its usual opposite is </w:t>
      </w:r>
      <w:r w:rsidRPr="009755E6">
        <w:rPr>
          <w:i/>
          <w:iCs/>
          <w:highlight w:val="yellow"/>
        </w:rPr>
        <w:t>raʿ</w:t>
      </w:r>
      <w:r w:rsidRPr="009755E6">
        <w:rPr>
          <w:highlight w:val="yellow"/>
        </w:rPr>
        <w:t>, which means bad, harmful, or evil. You can see the two words side by side just nine verses earlier, in Genesis 2:9: “the tree of the knowledge of good (</w:t>
      </w:r>
      <w:r w:rsidRPr="009755E6">
        <w:rPr>
          <w:i/>
          <w:iCs/>
          <w:highlight w:val="yellow"/>
        </w:rPr>
        <w:t>tôv</w:t>
      </w:r>
      <w:r w:rsidRPr="009755E6">
        <w:rPr>
          <w:highlight w:val="yellow"/>
        </w:rPr>
        <w:t>) and evil (</w:t>
      </w:r>
      <w:r w:rsidRPr="009755E6">
        <w:rPr>
          <w:i/>
          <w:iCs/>
          <w:highlight w:val="yellow"/>
        </w:rPr>
        <w:t>raʿ</w:t>
      </w:r>
      <w:r w:rsidRPr="009755E6">
        <w:rPr>
          <w:highlight w:val="yellow"/>
        </w:rPr>
        <w:t xml:space="preserve">).” If Moses had wanted to call Adam's aloneness evil, the word was right there. He didn't use it. He's saying: </w:t>
      </w:r>
      <w:r w:rsidRPr="009755E6">
        <w:rPr>
          <w:i/>
          <w:iCs/>
          <w:highlight w:val="yellow"/>
        </w:rPr>
        <w:t>not yet</w:t>
      </w:r>
      <w:r w:rsidRPr="009755E6">
        <w:rPr>
          <w:highlight w:val="yellow"/>
        </w:rPr>
        <w:t xml:space="preserve"> what God fully intends.</w:t>
      </w:r>
    </w:p>
    <w:p w14:paraId="5F844E14" w14:textId="77777777" w:rsidR="005561FB" w:rsidRDefault="00F83C51">
      <w:pPr>
        <w:spacing w:after="180" w:line="320" w:lineRule="auto"/>
      </w:pPr>
      <w:r>
        <w:t>Here's why that matters.</w:t>
      </w:r>
    </w:p>
    <w:p w14:paraId="71B44FB2" w14:textId="2D2D8C2B" w:rsidR="005561FB" w:rsidRDefault="00F83C51">
      <w:pPr>
        <w:spacing w:after="180" w:line="320" w:lineRule="auto"/>
      </w:pPr>
      <w:r w:rsidRPr="009755E6">
        <w:rPr>
          <w:highlight w:val="yellow"/>
        </w:rPr>
        <w:t>You and I are made in the image of God, and God is love (1 John 4:8). Each of us carries a part of that image, and we share in a purpose much bigger than ourselves. That purpose is relational love.</w:t>
      </w:r>
      <w:r w:rsidRPr="009755E6">
        <w:rPr>
          <w:rStyle w:val="FootnoteReference"/>
          <w:highlight w:val="yellow"/>
        </w:rPr>
        <w:footnoteReference w:id="4"/>
      </w:r>
      <w:r w:rsidRPr="009755E6">
        <w:rPr>
          <w:highlight w:val="yellow"/>
        </w:rPr>
        <w:t xml:space="preserve"> A</w:t>
      </w:r>
      <w:r w:rsidR="009755E6">
        <w:rPr>
          <w:highlight w:val="yellow"/>
        </w:rPr>
        <w:t xml:space="preserve">n interconnected </w:t>
      </w:r>
      <w:r w:rsidRPr="009755E6">
        <w:rPr>
          <w:highlight w:val="yellow"/>
        </w:rPr>
        <w:t>purpose we had the moment we were created, and one we will participate in forever.</w:t>
      </w:r>
    </w:p>
    <w:p w14:paraId="2D62583A" w14:textId="77777777" w:rsidR="005561FB" w:rsidRDefault="00F83C51">
      <w:pPr>
        <w:pStyle w:val="Heading1"/>
        <w:spacing w:before="360" w:after="160"/>
      </w:pPr>
      <w:r>
        <w:t>“I Will Make”</w:t>
      </w:r>
    </w:p>
    <w:p w14:paraId="30DF6696" w14:textId="77777777" w:rsidR="005561FB" w:rsidRDefault="00F83C51">
      <w:pPr>
        <w:spacing w:after="180" w:line="320" w:lineRule="auto"/>
      </w:pPr>
      <w:r w:rsidRPr="009755E6">
        <w:rPr>
          <w:highlight w:val="yellow"/>
        </w:rPr>
        <w:t>“I will make him a helper.” The story slows down here. God pauses. It echoes Genesis 1:26: “Let us make man in our image.” The making of human community gets the same careful, divine attention as the making of humanity itself.</w:t>
      </w:r>
    </w:p>
    <w:p w14:paraId="056F6735" w14:textId="2D6F86CB" w:rsidR="005561FB" w:rsidRDefault="009755E6">
      <w:pPr>
        <w:spacing w:after="180" w:line="320" w:lineRule="auto"/>
      </w:pPr>
      <w:r w:rsidRPr="009755E6">
        <w:t>Y</w:t>
      </w:r>
      <w:r w:rsidR="00F83C51" w:rsidRPr="009755E6">
        <w:t xml:space="preserve">ou see </w:t>
      </w:r>
      <w:r w:rsidRPr="009755E6">
        <w:t>God’s design for interconnectedness everywhere</w:t>
      </w:r>
      <w:r w:rsidR="00F83C51" w:rsidRPr="009755E6">
        <w:t>. From reproduction, to personality types, to spiritual gifts, God built humanity to need one another.</w:t>
      </w:r>
    </w:p>
    <w:p w14:paraId="1DD70026" w14:textId="77777777" w:rsidR="005561FB" w:rsidRDefault="00F83C51">
      <w:pPr>
        <w:spacing w:after="180" w:line="320" w:lineRule="auto"/>
      </w:pPr>
      <w:r>
        <w:t>You, shaped by God, live, breathe, and find meaning in relationships. And the first and most important of those relationships is your relationship with God Himself.</w:t>
      </w:r>
    </w:p>
    <w:p w14:paraId="5C2D6581" w14:textId="77777777" w:rsidR="005561FB" w:rsidRDefault="00F83C51">
      <w:pPr>
        <w:pStyle w:val="Heading1"/>
        <w:spacing w:before="360" w:after="160"/>
      </w:pPr>
      <w:r>
        <w:t>A Helper Who Stands Face to Face</w:t>
      </w:r>
    </w:p>
    <w:p w14:paraId="549BEC70" w14:textId="2154546A" w:rsidR="005561FB" w:rsidRDefault="00F83C51">
      <w:pPr>
        <w:pStyle w:val="Heading2"/>
        <w:spacing w:before="240" w:after="120"/>
      </w:pPr>
      <w:r>
        <w:rPr>
          <w:i/>
          <w:iCs/>
        </w:rPr>
        <w:t>ʿĒ</w:t>
      </w:r>
      <w:r>
        <w:rPr>
          <w:i/>
          <w:iCs/>
        </w:rPr>
        <w:t>zer</w:t>
      </w:r>
      <w:r w:rsidR="009755E6">
        <w:t xml:space="preserve">: </w:t>
      </w:r>
      <w:r>
        <w:t>a helper designed to help complete God's purpose</w:t>
      </w:r>
    </w:p>
    <w:p w14:paraId="7CCA7813" w14:textId="1E0F599A" w:rsidR="005561FB" w:rsidRDefault="009755E6">
      <w:pPr>
        <w:spacing w:after="180" w:line="320" w:lineRule="auto"/>
      </w:pPr>
      <w:r>
        <w:rPr>
          <w:highlight w:val="yellow"/>
        </w:rPr>
        <w:t>A “helper”,</w:t>
      </w:r>
      <w:r w:rsidR="00F83C51" w:rsidRPr="009755E6">
        <w:rPr>
          <w:i/>
          <w:iCs/>
          <w:highlight w:val="yellow"/>
        </w:rPr>
        <w:t>ʿē</w:t>
      </w:r>
      <w:r w:rsidR="00F83C51" w:rsidRPr="009755E6">
        <w:rPr>
          <w:i/>
          <w:iCs/>
          <w:highlight w:val="yellow"/>
        </w:rPr>
        <w:t>zer</w:t>
      </w:r>
      <w:r>
        <w:rPr>
          <w:highlight w:val="yellow"/>
        </w:rPr>
        <w:t xml:space="preserve">. </w:t>
      </w:r>
      <w:r w:rsidR="00F83C51" w:rsidRPr="009755E6">
        <w:rPr>
          <w:highlight w:val="yellow"/>
        </w:rPr>
        <w:t xml:space="preserve">In English, that sounds like an assistant. But in Hebrew, </w:t>
      </w:r>
      <w:r w:rsidR="00F83C51" w:rsidRPr="009755E6">
        <w:rPr>
          <w:i/>
          <w:iCs/>
          <w:highlight w:val="yellow"/>
        </w:rPr>
        <w:t>ʿē</w:t>
      </w:r>
      <w:r w:rsidR="00F83C51" w:rsidRPr="009755E6">
        <w:rPr>
          <w:i/>
          <w:iCs/>
          <w:highlight w:val="yellow"/>
        </w:rPr>
        <w:t>zer</w:t>
      </w:r>
      <w:r w:rsidR="00F83C51" w:rsidRPr="009755E6">
        <w:rPr>
          <w:highlight w:val="yellow"/>
        </w:rPr>
        <w:t xml:space="preserve"> is a strong word. It shows up about twenty-one times in the Old Testament, and most of the </w:t>
      </w:r>
      <w:r w:rsidR="00F83C51" w:rsidRPr="009755E6">
        <w:rPr>
          <w:highlight w:val="yellow"/>
        </w:rPr>
        <w:lastRenderedPageBreak/>
        <w:t>time it describes God Himself coming to rescue His people.</w:t>
      </w:r>
      <w:r w:rsidR="00F83C51" w:rsidRPr="009755E6">
        <w:rPr>
          <w:rStyle w:val="FootnoteReference"/>
          <w:highlight w:val="yellow"/>
        </w:rPr>
        <w:footnoteReference w:id="5"/>
      </w:r>
      <w:r w:rsidR="00F83C51" w:rsidRPr="009755E6">
        <w:rPr>
          <w:highlight w:val="yellow"/>
        </w:rPr>
        <w:t xml:space="preserve"> </w:t>
      </w:r>
      <w:r w:rsidR="008B39A2">
        <w:rPr>
          <w:highlight w:val="yellow"/>
        </w:rPr>
        <w:t>To make this word a synonym for inferior is to minimize God throughout the rest of the Old Testament</w:t>
      </w:r>
      <w:r w:rsidR="00F83C51" w:rsidRPr="009755E6">
        <w:rPr>
          <w:highlight w:val="yellow"/>
        </w:rPr>
        <w:t xml:space="preserve">. To be an </w:t>
      </w:r>
      <w:r w:rsidR="00F83C51" w:rsidRPr="009755E6">
        <w:rPr>
          <w:i/>
          <w:iCs/>
          <w:highlight w:val="yellow"/>
        </w:rPr>
        <w:t>ʿē</w:t>
      </w:r>
      <w:r w:rsidR="00F83C51" w:rsidRPr="009755E6">
        <w:rPr>
          <w:i/>
          <w:iCs/>
          <w:highlight w:val="yellow"/>
        </w:rPr>
        <w:t>zer</w:t>
      </w:r>
      <w:r w:rsidR="00F83C51" w:rsidRPr="009755E6">
        <w:rPr>
          <w:highlight w:val="yellow"/>
        </w:rPr>
        <w:t xml:space="preserve"> is to do what God does: show up with strength </w:t>
      </w:r>
      <w:r>
        <w:rPr>
          <w:highlight w:val="yellow"/>
        </w:rPr>
        <w:t>to help complete a work</w:t>
      </w:r>
      <w:r w:rsidR="00F83C51" w:rsidRPr="009755E6">
        <w:rPr>
          <w:highlight w:val="yellow"/>
        </w:rPr>
        <w:t>.</w:t>
      </w:r>
    </w:p>
    <w:p w14:paraId="1DAA1E6D" w14:textId="24FB6F83" w:rsidR="008B39A2" w:rsidRDefault="008B39A2">
      <w:pPr>
        <w:spacing w:after="180" w:line="320" w:lineRule="auto"/>
      </w:pPr>
      <w:r w:rsidRPr="008B39A2">
        <w:rPr>
          <w:highlight w:val="yellow"/>
        </w:rPr>
        <w:t xml:space="preserve">We must also avoid the opposite error. Eve isn’t an evolved Adam. She is the other half of Adam and </w:t>
      </w:r>
      <w:r>
        <w:rPr>
          <w:highlight w:val="yellow"/>
        </w:rPr>
        <w:t>they represent God’s</w:t>
      </w:r>
      <w:r w:rsidRPr="008B39A2">
        <w:rPr>
          <w:highlight w:val="yellow"/>
        </w:rPr>
        <w:t xml:space="preserve"> purpose embodied </w:t>
      </w:r>
      <w:r>
        <w:rPr>
          <w:highlight w:val="yellow"/>
        </w:rPr>
        <w:t>as</w:t>
      </w:r>
      <w:r w:rsidRPr="008B39A2">
        <w:rPr>
          <w:highlight w:val="yellow"/>
        </w:rPr>
        <w:t xml:space="preserve"> humanity.</w:t>
      </w:r>
      <w:r>
        <w:t xml:space="preserve"> </w:t>
      </w:r>
    </w:p>
    <w:p w14:paraId="46067CA9" w14:textId="5E0887AB" w:rsidR="005561FB" w:rsidRDefault="00F83C51" w:rsidP="009755E6">
      <w:pPr>
        <w:spacing w:after="180" w:line="320" w:lineRule="auto"/>
        <w:ind w:right="540"/>
      </w:pPr>
      <w:r>
        <w:rPr>
          <w:i/>
          <w:iCs/>
        </w:rPr>
        <w:t>I lift up my eyes to the hills. From where does my help come? My help comes from the LORD, who made heaven and earth. — Psalm 121:1–2</w:t>
      </w:r>
    </w:p>
    <w:p w14:paraId="01E94154" w14:textId="77777777" w:rsidR="005561FB" w:rsidRDefault="00F83C51">
      <w:pPr>
        <w:spacing w:after="180" w:line="320" w:lineRule="auto"/>
      </w:pPr>
      <w:r>
        <w:t xml:space="preserve">That word “help” is </w:t>
      </w:r>
      <w:r>
        <w:rPr>
          <w:i/>
          <w:iCs/>
        </w:rPr>
        <w:t>ʿē</w:t>
      </w:r>
      <w:r>
        <w:rPr>
          <w:i/>
          <w:iCs/>
        </w:rPr>
        <w:t>zer</w:t>
      </w:r>
      <w:r>
        <w:t>. (See also Exodus 18:4, Deuteronomy 33:29, and Psalm 33:20.)</w:t>
      </w:r>
    </w:p>
    <w:p w14:paraId="6C7BF680" w14:textId="77777777" w:rsidR="005561FB" w:rsidRDefault="00F83C51">
      <w:pPr>
        <w:spacing w:after="180" w:line="320" w:lineRule="auto"/>
      </w:pPr>
      <w:r w:rsidRPr="009755E6">
        <w:rPr>
          <w:highlight w:val="yellow"/>
        </w:rPr>
        <w:t>It's a fallen human heart that says, “My uniqueness makes me superior to you.” No. We are incomplete without one another. That isn't a flaw. That's the design.</w:t>
      </w:r>
    </w:p>
    <w:p w14:paraId="6AAC752D" w14:textId="77777777" w:rsidR="005561FB" w:rsidRDefault="00F83C51">
      <w:pPr>
        <w:pStyle w:val="Heading2"/>
        <w:spacing w:before="240" w:after="120"/>
      </w:pPr>
      <w:r>
        <w:t>Marriage, and more</w:t>
      </w:r>
    </w:p>
    <w:p w14:paraId="751826AC" w14:textId="77777777" w:rsidR="005561FB" w:rsidRDefault="00F83C51">
      <w:pPr>
        <w:spacing w:after="180" w:line="320" w:lineRule="auto"/>
      </w:pPr>
      <w:r w:rsidRPr="009755E6">
        <w:rPr>
          <w:highlight w:val="cyan"/>
        </w:rPr>
        <w:t>Let's be honest about the context. The first meaning of this passage is marriage (2:23–24), and we shouldn't skip that. But the principle is wider than marriage. Jesus was never married. Paul was single. Both were fully human, and neither one was ever without community. John Calvin read this verse as showing that humanity was formed for society, not only for marriage.</w:t>
      </w:r>
      <w:r w:rsidRPr="009755E6">
        <w:rPr>
          <w:rStyle w:val="FootnoteReference"/>
          <w:highlight w:val="cyan"/>
        </w:rPr>
        <w:footnoteReference w:id="6"/>
      </w:r>
      <w:r w:rsidRPr="009755E6">
        <w:rPr>
          <w:highlight w:val="cyan"/>
        </w:rPr>
        <w:t xml:space="preserve"> So if you're single, widowed, or divorced this morning, hear this: the answer to “it is not good to be alone” is not only a spouse. It is the family of God.</w:t>
      </w:r>
    </w:p>
    <w:p w14:paraId="3A9080D5" w14:textId="77777777" w:rsidR="005561FB" w:rsidRDefault="00F83C51">
      <w:pPr>
        <w:pStyle w:val="Heading1"/>
        <w:spacing w:before="360" w:after="160"/>
      </w:pPr>
      <w:r>
        <w:t>The Church Has Always Known This</w:t>
      </w:r>
    </w:p>
    <w:p w14:paraId="54AB37E1" w14:textId="77777777" w:rsidR="005561FB" w:rsidRDefault="00F83C51">
      <w:pPr>
        <w:spacing w:after="180" w:line="320" w:lineRule="auto"/>
      </w:pPr>
      <w:r>
        <w:t>This isn't a new idea. The church has known it for a long time.</w:t>
      </w:r>
    </w:p>
    <w:p w14:paraId="478B9E09" w14:textId="77777777" w:rsidR="005561FB" w:rsidRDefault="00F83C51">
      <w:pPr>
        <w:spacing w:after="180" w:line="320" w:lineRule="auto"/>
      </w:pPr>
      <w:r>
        <w:t xml:space="preserve">In the fifth century, </w:t>
      </w:r>
      <w:r w:rsidRPr="008B39A2">
        <w:rPr>
          <w:highlight w:val="yellow"/>
        </w:rPr>
        <w:t>Augustine, reflecting on the Trinity, noticed that love always involves three things: “he that loves, and that which is loved, and love.”</w:t>
      </w:r>
      <w:r w:rsidRPr="008B39A2">
        <w:rPr>
          <w:rStyle w:val="FootnoteReference"/>
          <w:highlight w:val="yellow"/>
        </w:rPr>
        <w:footnoteReference w:id="7"/>
      </w:r>
      <w:r w:rsidRPr="008B39A2">
        <w:rPr>
          <w:highlight w:val="yellow"/>
        </w:rPr>
        <w:t xml:space="preserve"> Love is never a solo act. Even in God, love has </w:t>
      </w:r>
      <w:r w:rsidRPr="008B39A2">
        <w:rPr>
          <w:i/>
          <w:iCs/>
          <w:highlight w:val="yellow"/>
        </w:rPr>
        <w:t>never</w:t>
      </w:r>
      <w:r w:rsidRPr="008B39A2">
        <w:rPr>
          <w:highlight w:val="yellow"/>
        </w:rPr>
        <w:t xml:space="preserve"> been alone.</w:t>
      </w:r>
    </w:p>
    <w:p w14:paraId="523A9D4E" w14:textId="77777777" w:rsidR="005561FB" w:rsidRDefault="00F83C51">
      <w:pPr>
        <w:spacing w:after="180" w:line="320" w:lineRule="auto"/>
      </w:pPr>
      <w:r>
        <w:lastRenderedPageBreak/>
        <w:t xml:space="preserve">And then there's our own family story. </w:t>
      </w:r>
      <w:r w:rsidRPr="008B39A2">
        <w:rPr>
          <w:highlight w:val="yellow"/>
        </w:rPr>
        <w:t>John Wesley said it bluntly: “Christianity is essentially a social religion; and to turn it into a solitary religion, is indeed to destroy it.”</w:t>
      </w:r>
      <w:r>
        <w:rPr>
          <w:rStyle w:val="FootnoteReference"/>
        </w:rPr>
        <w:footnoteReference w:id="8"/>
      </w:r>
      <w:r>
        <w:t xml:space="preserve"> In 1739 he put it another way: “The gospel of Christ knows of no religion, but social; no holiness but social holiness.”</w:t>
      </w:r>
      <w:r>
        <w:rPr>
          <w:rStyle w:val="FootnoteReference"/>
        </w:rPr>
        <w:footnoteReference w:id="9"/>
      </w:r>
      <w:r>
        <w:t xml:space="preserve"> Wesley wasn't talking first about activism. He meant that holiness grows when believers do life together. You can't become holy alone.</w:t>
      </w:r>
    </w:p>
    <w:p w14:paraId="2DB1919A" w14:textId="77777777" w:rsidR="005561FB" w:rsidRDefault="00F83C51">
      <w:pPr>
        <w:pStyle w:val="Heading1"/>
        <w:spacing w:before="360" w:after="160"/>
      </w:pPr>
      <w:r>
        <w:t>God Wired Us to Face Fear Together</w:t>
      </w:r>
    </w:p>
    <w:p w14:paraId="102B99BD" w14:textId="77777777" w:rsidR="005561FB" w:rsidRDefault="00F83C51">
      <w:pPr>
        <w:spacing w:after="180" w:line="320" w:lineRule="auto"/>
      </w:pPr>
      <w:r>
        <w:t>Modern science keeps catching up to Genesis 2. Let me tell you about one study.</w:t>
      </w:r>
    </w:p>
    <w:p w14:paraId="73B5A480" w14:textId="77777777" w:rsidR="005561FB" w:rsidRDefault="00F83C51">
      <w:pPr>
        <w:spacing w:after="180" w:line="320" w:lineRule="auto"/>
      </w:pPr>
      <w:r>
        <w:t>Dr. James Coan is a neuroscientist at the University of Virginia. In 2006 he and his colleagues invited sixteen married women into a lab and slid each one into an MRI scanner. Then they told her something nobody wants to hear: at random moments, a signal would appear on the screen, and when it did, she might get a mild electric shock.</w:t>
      </w:r>
    </w:p>
    <w:p w14:paraId="1A74AF39" w14:textId="77777777" w:rsidR="005561FB" w:rsidRDefault="00F83C51">
      <w:pPr>
        <w:spacing w:after="180" w:line="320" w:lineRule="auto"/>
      </w:pPr>
      <w:r>
        <w:t>Each woman went through it three ways. Once, she lay in the scanner alone. Once, she held the hand of a stranger. And once, she held her husband's hand.</w:t>
      </w:r>
    </w:p>
    <w:p w14:paraId="0972E6C4" w14:textId="77777777" w:rsidR="005561FB" w:rsidRDefault="00F83C51">
      <w:pPr>
        <w:spacing w:after="180" w:line="320" w:lineRule="auto"/>
      </w:pPr>
      <w:r>
        <w:t>Here's what they found. When the women were alone, the threat areas of their brains lit up. When they held a stranger's hand, those areas calmed down a little. But when they held their husband's hand, the threat response dropped dramatically. And here's the part I love: the stronger the marriage, the bigger the difference. The women in the healthiest marriages showed the calmest brains of all.</w:t>
      </w:r>
      <w:r>
        <w:rPr>
          <w:rStyle w:val="FootnoteReference"/>
        </w:rPr>
        <w:footnoteReference w:id="10"/>
      </w:r>
    </w:p>
    <w:p w14:paraId="180BA481" w14:textId="77777777" w:rsidR="005561FB" w:rsidRDefault="00F83C51">
      <w:pPr>
        <w:spacing w:after="180" w:line="320" w:lineRule="auto"/>
      </w:pPr>
      <w:r>
        <w:t xml:space="preserve">Nothing about the shock had changed. The danger was the same. What changed was </w:t>
      </w:r>
      <w:r>
        <w:rPr>
          <w:i/>
          <w:iCs/>
        </w:rPr>
        <w:t>who was holding their hand.</w:t>
      </w:r>
    </w:p>
    <w:p w14:paraId="11B29E4A" w14:textId="77777777" w:rsidR="005561FB" w:rsidRDefault="00F83C51">
      <w:pPr>
        <w:spacing w:after="180" w:line="320" w:lineRule="auto"/>
      </w:pPr>
      <w:r>
        <w:t>Think back to Ecclesiastes: “If they fall, one will lift up his fellow. But woe to him who is alone when he falls.” Thousands of years before brain scans, Scripture told us what the lab confirmed. God literally wired us to face fear better together. And the deeper the relationship, the more peace it brings.</w:t>
      </w:r>
    </w:p>
    <w:p w14:paraId="0C6F43EB" w14:textId="77777777" w:rsidR="005561FB" w:rsidRDefault="00F83C51">
      <w:pPr>
        <w:pStyle w:val="Heading1"/>
        <w:spacing w:before="360" w:after="160"/>
      </w:pPr>
      <w:r>
        <w:t>Final Thoughts</w:t>
      </w:r>
    </w:p>
    <w:p w14:paraId="238D4957" w14:textId="7FC44CBC" w:rsidR="005561FB" w:rsidRDefault="00F83C51">
      <w:pPr>
        <w:spacing w:after="180" w:line="320" w:lineRule="auto"/>
      </w:pPr>
      <w:r w:rsidRPr="009755E6">
        <w:rPr>
          <w:highlight w:val="cyan"/>
        </w:rPr>
        <w:lastRenderedPageBreak/>
        <w:t>There is a longing for perfect love inside every one of us. And all of us live with the disappointment of faults, in other people and in ourselves, that make relationships hard. That disappointment is actually evidence. It tells us we were made for a supernatural unity that no human relationship can fully give.</w:t>
      </w:r>
    </w:p>
    <w:p w14:paraId="7E436691" w14:textId="77777777" w:rsidR="005561FB" w:rsidRDefault="00F83C51">
      <w:pPr>
        <w:spacing w:after="180" w:line="320" w:lineRule="auto"/>
      </w:pPr>
      <w:r w:rsidRPr="009755E6">
        <w:rPr>
          <w:highlight w:val="yellow"/>
        </w:rPr>
        <w:t>There is only One who can love you perfectly, and His name is Jesus. Jesus is the better best friend. He is more loyal than any spouse. He is the One who fully knows you, and still chose to give everything to bring you back to God. And here's the beautiful part: the healthier your relationship with Christ, the more health you can bring into every other relationship.</w:t>
      </w:r>
    </w:p>
    <w:p w14:paraId="7AC2D251" w14:textId="77777777" w:rsidR="005561FB" w:rsidRDefault="00F83C51">
      <w:pPr>
        <w:spacing w:after="180" w:line="320" w:lineRule="auto"/>
      </w:pPr>
      <w:r>
        <w:t>So before we talk about classes or groups or anything else in this series, there is one question we have to start with:</w:t>
      </w:r>
    </w:p>
    <w:p w14:paraId="1F0B6131" w14:textId="77777777" w:rsidR="005561FB" w:rsidRDefault="00F83C51" w:rsidP="009755E6">
      <w:pPr>
        <w:spacing w:before="120" w:after="220" w:line="320" w:lineRule="auto"/>
      </w:pPr>
      <w:r w:rsidRPr="009755E6">
        <w:rPr>
          <w:b/>
          <w:bCs/>
          <w:sz w:val="26"/>
          <w:szCs w:val="26"/>
          <w:highlight w:val="yellow"/>
        </w:rPr>
        <w:t>How is your relationship with Jesus?</w:t>
      </w:r>
    </w:p>
    <w:p w14:paraId="129C60B5" w14:textId="77777777" w:rsidR="005561FB" w:rsidRDefault="00F83C51">
      <w:pPr>
        <w:pBdr>
          <w:left w:val="single" w:sz="18" w:space="8" w:color="C9893A"/>
        </w:pBdr>
        <w:shd w:val="clear" w:color="auto" w:fill="FBF3E6"/>
        <w:spacing w:before="120" w:after="200" w:line="290" w:lineRule="auto"/>
        <w:ind w:left="200"/>
      </w:pPr>
      <w:r>
        <w:rPr>
          <w:b/>
          <w:bCs/>
          <w:color w:val="7A4E1D"/>
          <w:sz w:val="21"/>
          <w:szCs w:val="21"/>
        </w:rPr>
        <w:t>Response:</w:t>
      </w:r>
      <w:r>
        <w:rPr>
          <w:color w:val="7A4E1D"/>
          <w:sz w:val="21"/>
          <w:szCs w:val="21"/>
        </w:rPr>
        <w:t xml:space="preserve"> Invite people to fill out their Next Steps Card. (Optional: bring the torn poster pieces forward and lay them back together.)</w:t>
      </w:r>
    </w:p>
    <w:sectPr w:rsidR="005561FB">
      <w:pgSz w:w="12240" w:h="15840"/>
      <w:pgMar w:top="1300" w:right="1400" w:bottom="1300" w:left="14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13E0B5" w14:textId="77777777" w:rsidR="00F83C51" w:rsidRDefault="00F83C51">
      <w:r>
        <w:separator/>
      </w:r>
    </w:p>
  </w:endnote>
  <w:endnote w:type="continuationSeparator" w:id="0">
    <w:p w14:paraId="16BA6605" w14:textId="77777777" w:rsidR="00F83C51" w:rsidRDefault="00F83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E57766" w14:textId="77777777" w:rsidR="00F83C51" w:rsidRDefault="00F83C51">
      <w:r>
        <w:separator/>
      </w:r>
    </w:p>
  </w:footnote>
  <w:footnote w:type="continuationSeparator" w:id="0">
    <w:p w14:paraId="3359CFD1" w14:textId="77777777" w:rsidR="00F83C51" w:rsidRDefault="00F83C51">
      <w:r>
        <w:continuationSeparator/>
      </w:r>
    </w:p>
  </w:footnote>
  <w:footnote w:id="1">
    <w:p w14:paraId="526F280B" w14:textId="77777777" w:rsidR="005561FB" w:rsidRDefault="00F83C51">
      <w:r>
        <w:rPr>
          <w:rStyle w:val="FootnoteReference"/>
        </w:rPr>
        <w:footnoteRef/>
      </w:r>
      <w:r>
        <w:rPr>
          <w:sz w:val="18"/>
          <w:szCs w:val="18"/>
        </w:rPr>
        <w:t xml:space="preserve">Unless otherwise noted, Scripture quotations are from </w:t>
      </w:r>
      <w:r>
        <w:rPr>
          <w:i/>
          <w:iCs/>
          <w:sz w:val="18"/>
          <w:szCs w:val="18"/>
        </w:rPr>
        <w:t>The Holy Bible, English Standard Version</w:t>
      </w:r>
      <w:r>
        <w:rPr>
          <w:sz w:val="18"/>
          <w:szCs w:val="18"/>
        </w:rPr>
        <w:t xml:space="preserve"> (Wheaton, IL: Crossway, 2001).</w:t>
      </w:r>
    </w:p>
  </w:footnote>
  <w:footnote w:id="2">
    <w:p w14:paraId="0D5FFD33" w14:textId="77777777" w:rsidR="005561FB" w:rsidRDefault="00F83C51">
      <w:r>
        <w:rPr>
          <w:rStyle w:val="FootnoteReference"/>
        </w:rPr>
        <w:footnoteRef/>
      </w:r>
      <w:r>
        <w:rPr>
          <w:sz w:val="18"/>
          <w:szCs w:val="18"/>
        </w:rPr>
        <w:t xml:space="preserve">Gordon J. Wenham, </w:t>
      </w:r>
      <w:r>
        <w:rPr>
          <w:i/>
          <w:iCs/>
          <w:sz w:val="18"/>
          <w:szCs w:val="18"/>
        </w:rPr>
        <w:t>Genesis 1–15</w:t>
      </w:r>
      <w:r>
        <w:rPr>
          <w:sz w:val="18"/>
          <w:szCs w:val="18"/>
        </w:rPr>
        <w:t>, Word Biblical Commentary 1 (Waco, TX: Word Books, 1987), 68.</w:t>
      </w:r>
    </w:p>
  </w:footnote>
  <w:footnote w:id="3">
    <w:p w14:paraId="368140C7" w14:textId="77777777" w:rsidR="005561FB" w:rsidRDefault="00F83C51">
      <w:r>
        <w:rPr>
          <w:rStyle w:val="FootnoteReference"/>
        </w:rPr>
        <w:footnoteRef/>
      </w:r>
      <w:r>
        <w:rPr>
          <w:sz w:val="18"/>
          <w:szCs w:val="18"/>
        </w:rPr>
        <w:t xml:space="preserve">John H. Walton, </w:t>
      </w:r>
      <w:r>
        <w:rPr>
          <w:i/>
          <w:iCs/>
          <w:sz w:val="18"/>
          <w:szCs w:val="18"/>
        </w:rPr>
        <w:t>The Lost World of Genesis One: Ancient Cosmology and the Origins Debate</w:t>
      </w:r>
      <w:r>
        <w:rPr>
          <w:sz w:val="18"/>
          <w:szCs w:val="18"/>
        </w:rPr>
        <w:t xml:space="preserve"> (Downers Grove, IL: IVP Academic, 2009), 49–51.</w:t>
      </w:r>
    </w:p>
  </w:footnote>
  <w:footnote w:id="4">
    <w:p w14:paraId="179EF56D" w14:textId="77777777" w:rsidR="005561FB" w:rsidRDefault="00F83C51">
      <w:r>
        <w:rPr>
          <w:rStyle w:val="FootnoteReference"/>
        </w:rPr>
        <w:footnoteRef/>
      </w:r>
      <w:r>
        <w:rPr>
          <w:sz w:val="18"/>
          <w:szCs w:val="18"/>
        </w:rPr>
        <w:t xml:space="preserve">On the image of God as relational, see Karl Barth, </w:t>
      </w:r>
      <w:r>
        <w:rPr>
          <w:i/>
          <w:iCs/>
          <w:sz w:val="18"/>
          <w:szCs w:val="18"/>
        </w:rPr>
        <w:t>Church Dogmatics</w:t>
      </w:r>
      <w:r>
        <w:rPr>
          <w:sz w:val="18"/>
          <w:szCs w:val="18"/>
        </w:rPr>
        <w:t xml:space="preserve"> III/1, ed. G. W. Bromiley and T. F. Torrance (Edinburgh: T&amp;T Clark, 1958), §41, 183–206; and Stanley J. Grenz, </w:t>
      </w:r>
      <w:r>
        <w:rPr>
          <w:i/>
          <w:iCs/>
          <w:sz w:val="18"/>
          <w:szCs w:val="18"/>
        </w:rPr>
        <w:t>The Social God and the Relational Self: A Trinitarian Theology of the Imago Dei</w:t>
      </w:r>
      <w:r>
        <w:rPr>
          <w:sz w:val="18"/>
          <w:szCs w:val="18"/>
        </w:rPr>
        <w:t xml:space="preserve"> (Louisville: Westminster John Knox, 2001).</w:t>
      </w:r>
    </w:p>
  </w:footnote>
  <w:footnote w:id="5">
    <w:p w14:paraId="483A15FD" w14:textId="77777777" w:rsidR="005561FB" w:rsidRDefault="00F83C51">
      <w:r>
        <w:rPr>
          <w:rStyle w:val="FootnoteReference"/>
        </w:rPr>
        <w:footnoteRef/>
      </w:r>
      <w:r>
        <w:rPr>
          <w:sz w:val="18"/>
          <w:szCs w:val="18"/>
        </w:rPr>
        <w:t xml:space="preserve">Victor P. Hamilton, </w:t>
      </w:r>
      <w:r>
        <w:rPr>
          <w:i/>
          <w:iCs/>
          <w:sz w:val="18"/>
          <w:szCs w:val="18"/>
        </w:rPr>
        <w:t>The Book of Genesis: Chapters 1–17</w:t>
      </w:r>
      <w:r>
        <w:rPr>
          <w:sz w:val="18"/>
          <w:szCs w:val="18"/>
        </w:rPr>
        <w:t>, New International Commentary on the Old Testament (Grand Rapids: Eerdmans, 1990), 175–76.</w:t>
      </w:r>
    </w:p>
  </w:footnote>
  <w:footnote w:id="6">
    <w:p w14:paraId="776A5802" w14:textId="77777777" w:rsidR="005561FB" w:rsidRDefault="00F83C51">
      <w:r>
        <w:rPr>
          <w:rStyle w:val="FootnoteReference"/>
        </w:rPr>
        <w:footnoteRef/>
      </w:r>
      <w:r>
        <w:rPr>
          <w:sz w:val="18"/>
          <w:szCs w:val="18"/>
        </w:rPr>
        <w:t xml:space="preserve">John Calvin, </w:t>
      </w:r>
      <w:r>
        <w:rPr>
          <w:i/>
          <w:iCs/>
          <w:sz w:val="18"/>
          <w:szCs w:val="18"/>
        </w:rPr>
        <w:t>Commentaries on the First Book of Moses Called Genesis</w:t>
      </w:r>
      <w:r>
        <w:rPr>
          <w:sz w:val="18"/>
          <w:szCs w:val="18"/>
        </w:rPr>
        <w:t>, trans. John King, vol. 1 (Edinburgh: Calvin Translation Society, 1847), 128 (on Gen. 2:18).</w:t>
      </w:r>
    </w:p>
  </w:footnote>
  <w:footnote w:id="7">
    <w:p w14:paraId="45BF4168" w14:textId="77777777" w:rsidR="005561FB" w:rsidRDefault="00F83C51">
      <w:r>
        <w:rPr>
          <w:rStyle w:val="FootnoteReference"/>
        </w:rPr>
        <w:footnoteRef/>
      </w:r>
      <w:r>
        <w:rPr>
          <w:sz w:val="18"/>
          <w:szCs w:val="18"/>
        </w:rPr>
        <w:t xml:space="preserve">Augustine, </w:t>
      </w:r>
      <w:r>
        <w:rPr>
          <w:i/>
          <w:iCs/>
          <w:sz w:val="18"/>
          <w:szCs w:val="18"/>
        </w:rPr>
        <w:t>On the Trinity</w:t>
      </w:r>
      <w:r>
        <w:rPr>
          <w:sz w:val="18"/>
          <w:szCs w:val="18"/>
        </w:rPr>
        <w:t xml:space="preserve"> 8.10.14, trans. Arthur West Haddan, in </w:t>
      </w:r>
      <w:r>
        <w:rPr>
          <w:i/>
          <w:iCs/>
          <w:sz w:val="18"/>
          <w:szCs w:val="18"/>
        </w:rPr>
        <w:t>Nicene and Post-Nicene Fathers</w:t>
      </w:r>
      <w:r>
        <w:rPr>
          <w:sz w:val="18"/>
          <w:szCs w:val="18"/>
        </w:rPr>
        <w:t>, First Series, vol. 3, ed. Philip Schaff (Buffalo, NY: Christian Literature Publishing, 1887), https://www.newadvent.org/fathers/130108.htm.</w:t>
      </w:r>
    </w:p>
  </w:footnote>
  <w:footnote w:id="8">
    <w:p w14:paraId="553D1636" w14:textId="77777777" w:rsidR="005561FB" w:rsidRDefault="00F83C51">
      <w:r>
        <w:rPr>
          <w:rStyle w:val="FootnoteReference"/>
        </w:rPr>
        <w:footnoteRef/>
      </w:r>
      <w:r>
        <w:rPr>
          <w:sz w:val="18"/>
          <w:szCs w:val="18"/>
        </w:rPr>
        <w:t xml:space="preserve">John Wesley, "Upon Our Lord's Sermon on the Mount, Discourse IV," Sermon 24, I.1, in </w:t>
      </w:r>
      <w:r>
        <w:rPr>
          <w:i/>
          <w:iCs/>
          <w:sz w:val="18"/>
          <w:szCs w:val="18"/>
        </w:rPr>
        <w:t>The Works of John Wesley</w:t>
      </w:r>
      <w:r>
        <w:rPr>
          <w:sz w:val="18"/>
          <w:szCs w:val="18"/>
        </w:rPr>
        <w:t>, ed. Thomas Jackson, 3rd ed., vol. 5 (London: Wesleyan Methodist Book Room, 1872).</w:t>
      </w:r>
    </w:p>
  </w:footnote>
  <w:footnote w:id="9">
    <w:p w14:paraId="2389F0E2" w14:textId="77777777" w:rsidR="005561FB" w:rsidRDefault="00F83C51">
      <w:r>
        <w:rPr>
          <w:rStyle w:val="FootnoteReference"/>
        </w:rPr>
        <w:footnoteRef/>
      </w:r>
      <w:r>
        <w:rPr>
          <w:sz w:val="18"/>
          <w:szCs w:val="18"/>
        </w:rPr>
        <w:t xml:space="preserve">John Wesley and Charles Wesley, preface to </w:t>
      </w:r>
      <w:r>
        <w:rPr>
          <w:i/>
          <w:iCs/>
          <w:sz w:val="18"/>
          <w:szCs w:val="18"/>
        </w:rPr>
        <w:t>Hymns and Sacred Poems</w:t>
      </w:r>
      <w:r>
        <w:rPr>
          <w:sz w:val="18"/>
          <w:szCs w:val="18"/>
        </w:rPr>
        <w:t xml:space="preserve"> (London: William Strahan, 1739), viii. Wesley was arguing against solitary, withdrawn mysticism; his point is that holiness grows among fellow believers.</w:t>
      </w:r>
    </w:p>
  </w:footnote>
  <w:footnote w:id="10">
    <w:p w14:paraId="7DEACAB7" w14:textId="77777777" w:rsidR="005561FB" w:rsidRDefault="00F83C51">
      <w:r>
        <w:rPr>
          <w:rStyle w:val="FootnoteReference"/>
        </w:rPr>
        <w:footnoteRef/>
      </w:r>
      <w:r>
        <w:rPr>
          <w:sz w:val="18"/>
          <w:szCs w:val="18"/>
        </w:rPr>
        <w:t xml:space="preserve">James A. Coan, Hillary S. Schaefer, and Richard J. Davidson, "Lending a Hand: Social Regulation of the Neural Response to Threat," </w:t>
      </w:r>
      <w:r>
        <w:rPr>
          <w:i/>
          <w:iCs/>
          <w:sz w:val="18"/>
          <w:szCs w:val="18"/>
        </w:rPr>
        <w:t>Psychological Science</w:t>
      </w:r>
      <w:r>
        <w:rPr>
          <w:sz w:val="18"/>
          <w:szCs w:val="18"/>
        </w:rPr>
        <w:t xml:space="preserve"> 17, no. 12 (2006): 1032–39. Method: 16 married women, fMRI. Limits: small sample, one relationship type; the finding is an association within a lab setting.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BD001A"/>
    <w:multiLevelType w:val="hybridMultilevel"/>
    <w:tmpl w:val="11C07024"/>
    <w:lvl w:ilvl="0" w:tplc="AB02E93E">
      <w:start w:val="1"/>
      <w:numFmt w:val="bullet"/>
      <w:lvlText w:val="●"/>
      <w:lvlJc w:val="left"/>
      <w:pPr>
        <w:ind w:left="720" w:hanging="360"/>
      </w:pPr>
    </w:lvl>
    <w:lvl w:ilvl="1" w:tplc="B2A4E62A">
      <w:start w:val="1"/>
      <w:numFmt w:val="bullet"/>
      <w:lvlText w:val="○"/>
      <w:lvlJc w:val="left"/>
      <w:pPr>
        <w:ind w:left="1440" w:hanging="360"/>
      </w:pPr>
    </w:lvl>
    <w:lvl w:ilvl="2" w:tplc="74CC19E6">
      <w:start w:val="1"/>
      <w:numFmt w:val="bullet"/>
      <w:lvlText w:val="■"/>
      <w:lvlJc w:val="left"/>
      <w:pPr>
        <w:ind w:left="2160" w:hanging="360"/>
      </w:pPr>
    </w:lvl>
    <w:lvl w:ilvl="3" w:tplc="06B22100">
      <w:start w:val="1"/>
      <w:numFmt w:val="bullet"/>
      <w:lvlText w:val="●"/>
      <w:lvlJc w:val="left"/>
      <w:pPr>
        <w:ind w:left="2880" w:hanging="360"/>
      </w:pPr>
    </w:lvl>
    <w:lvl w:ilvl="4" w:tplc="7A66157C">
      <w:start w:val="1"/>
      <w:numFmt w:val="bullet"/>
      <w:lvlText w:val="○"/>
      <w:lvlJc w:val="left"/>
      <w:pPr>
        <w:ind w:left="3600" w:hanging="360"/>
      </w:pPr>
    </w:lvl>
    <w:lvl w:ilvl="5" w:tplc="A70612B8">
      <w:start w:val="1"/>
      <w:numFmt w:val="bullet"/>
      <w:lvlText w:val="■"/>
      <w:lvlJc w:val="left"/>
      <w:pPr>
        <w:ind w:left="4320" w:hanging="360"/>
      </w:pPr>
    </w:lvl>
    <w:lvl w:ilvl="6" w:tplc="87E27C1E">
      <w:start w:val="1"/>
      <w:numFmt w:val="bullet"/>
      <w:lvlText w:val="●"/>
      <w:lvlJc w:val="left"/>
      <w:pPr>
        <w:ind w:left="5040" w:hanging="360"/>
      </w:pPr>
    </w:lvl>
    <w:lvl w:ilvl="7" w:tplc="FEA0F9BA">
      <w:start w:val="1"/>
      <w:numFmt w:val="bullet"/>
      <w:lvlText w:val="●"/>
      <w:lvlJc w:val="left"/>
      <w:pPr>
        <w:ind w:left="5760" w:hanging="360"/>
      </w:pPr>
    </w:lvl>
    <w:lvl w:ilvl="8" w:tplc="F46C91F6">
      <w:start w:val="1"/>
      <w:numFmt w:val="bullet"/>
      <w:lvlText w:val="●"/>
      <w:lvlJc w:val="left"/>
      <w:pPr>
        <w:ind w:left="6480" w:hanging="360"/>
      </w:pPr>
    </w:lvl>
  </w:abstractNum>
  <w:num w:numId="1" w16cid:durableId="147884205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1FB"/>
    <w:rsid w:val="002757A9"/>
    <w:rsid w:val="005561FB"/>
    <w:rsid w:val="00763D86"/>
    <w:rsid w:val="00892784"/>
    <w:rsid w:val="008B39A2"/>
    <w:rsid w:val="008F07D1"/>
    <w:rsid w:val="009755E6"/>
    <w:rsid w:val="00F83C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05878B"/>
  <w15:docId w15:val="{D6959264-4A42-E74A-AFD0-68C123C4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Georgia" w:eastAsia="Georgia" w:hAnsi="Georgia" w:cs="Georg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2F3B4C"/>
      <w:sz w:val="30"/>
      <w:szCs w:val="30"/>
    </w:rPr>
  </w:style>
  <w:style w:type="paragraph" w:styleId="Heading2">
    <w:name w:val="heading 2"/>
    <w:uiPriority w:val="9"/>
    <w:unhideWhenUsed/>
    <w:qFormat/>
    <w:pPr>
      <w:outlineLvl w:val="1"/>
    </w:pPr>
    <w:rPr>
      <w:b/>
      <w:bCs/>
      <w:color w:val="A06A28"/>
      <w:sz w:val="25"/>
      <w:szCs w:val="25"/>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1380</Words>
  <Characters>7870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Mike Colaw</cp:lastModifiedBy>
  <cp:revision>5</cp:revision>
  <dcterms:created xsi:type="dcterms:W3CDTF">2026-10-07T22:00:00Z</dcterms:created>
  <dcterms:modified xsi:type="dcterms:W3CDTF">2026-10-08T00:45:00Z</dcterms:modified>
</cp:coreProperties>
</file>